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C5160" w14:textId="0D6DC6C1" w:rsidR="005D1125" w:rsidRPr="00570770" w:rsidRDefault="005D1125">
      <w:pPr>
        <w:rPr>
          <w:rFonts w:ascii="Arial" w:hAnsi="Arial" w:cs="Arial"/>
          <w:b/>
          <w:bCs/>
        </w:rPr>
      </w:pPr>
      <w:r w:rsidRPr="00570770">
        <w:rPr>
          <w:rFonts w:ascii="Arial" w:hAnsi="Arial" w:cs="Arial"/>
          <w:b/>
          <w:bCs/>
        </w:rPr>
        <w:t xml:space="preserve">Recombinant </w:t>
      </w:r>
      <w:r w:rsidR="00AC09A1" w:rsidRPr="00570770">
        <w:rPr>
          <w:rFonts w:ascii="Arial" w:hAnsi="Arial" w:cs="Arial"/>
          <w:b/>
          <w:bCs/>
        </w:rPr>
        <w:t xml:space="preserve">Quorum Sensing </w:t>
      </w:r>
      <w:r w:rsidRPr="00570770">
        <w:rPr>
          <w:rFonts w:ascii="Arial" w:hAnsi="Arial" w:cs="Arial"/>
          <w:b/>
          <w:bCs/>
        </w:rPr>
        <w:t xml:space="preserve">Expression and Activity Verification </w:t>
      </w:r>
    </w:p>
    <w:p w14:paraId="0B528137" w14:textId="7F0F5A06" w:rsidR="00F17248" w:rsidRPr="00570770" w:rsidRDefault="005D1125">
      <w:pPr>
        <w:rPr>
          <w:rFonts w:ascii="Arial" w:hAnsi="Arial" w:cs="Arial"/>
        </w:rPr>
      </w:pPr>
      <w:r w:rsidRPr="00570770">
        <w:rPr>
          <w:rFonts w:ascii="Arial" w:hAnsi="Arial" w:cs="Arial"/>
        </w:rPr>
        <w:t>K</w:t>
      </w:r>
      <w:r w:rsidR="00F17248" w:rsidRPr="00570770">
        <w:rPr>
          <w:rFonts w:ascii="Arial" w:hAnsi="Arial" w:cs="Arial"/>
        </w:rPr>
        <w:t>eywords: quorum sensing, synthetic biology, plasmid cloning, structural biology</w:t>
      </w:r>
    </w:p>
    <w:p w14:paraId="0AFD8AC0" w14:textId="3BC090E3" w:rsidR="00F17248" w:rsidRPr="00570770" w:rsidRDefault="00F17248">
      <w:pPr>
        <w:rPr>
          <w:rFonts w:ascii="Arial" w:hAnsi="Arial" w:cs="Arial"/>
        </w:rPr>
      </w:pPr>
    </w:p>
    <w:p w14:paraId="65832396" w14:textId="778C77D8" w:rsidR="00F17248" w:rsidRPr="00570770" w:rsidRDefault="00F17248">
      <w:pPr>
        <w:rPr>
          <w:rFonts w:ascii="Arial" w:hAnsi="Arial" w:cs="Arial"/>
          <w:b/>
          <w:bCs/>
        </w:rPr>
      </w:pPr>
      <w:r w:rsidRPr="00570770">
        <w:rPr>
          <w:rFonts w:ascii="Arial" w:hAnsi="Arial" w:cs="Arial"/>
          <w:b/>
          <w:bCs/>
        </w:rPr>
        <w:t xml:space="preserve">Background: </w:t>
      </w:r>
    </w:p>
    <w:p w14:paraId="7042962C" w14:textId="59BF6442" w:rsidR="00762C1E" w:rsidRPr="00570770" w:rsidRDefault="00762C1E">
      <w:pPr>
        <w:rPr>
          <w:rFonts w:ascii="Arial" w:hAnsi="Arial" w:cs="Arial"/>
        </w:rPr>
      </w:pPr>
    </w:p>
    <w:p w14:paraId="4E6C860D" w14:textId="5BE2796E" w:rsidR="00F17248" w:rsidRPr="00570770" w:rsidRDefault="00F17248">
      <w:pPr>
        <w:rPr>
          <w:rFonts w:ascii="Arial" w:hAnsi="Arial" w:cs="Arial"/>
        </w:rPr>
      </w:pPr>
      <w:r w:rsidRPr="00570770">
        <w:rPr>
          <w:rFonts w:ascii="Arial" w:hAnsi="Arial" w:cs="Arial"/>
        </w:rPr>
        <w:t xml:space="preserve">In </w:t>
      </w:r>
      <w:r w:rsidRPr="00570770">
        <w:rPr>
          <w:rFonts w:ascii="Arial" w:hAnsi="Arial" w:cs="Arial"/>
          <w:i/>
          <w:iCs/>
        </w:rPr>
        <w:t>Pseudomonas aeruginosa</w:t>
      </w:r>
      <w:r w:rsidRPr="00570770">
        <w:rPr>
          <w:rFonts w:ascii="Arial" w:hAnsi="Arial" w:cs="Arial"/>
        </w:rPr>
        <w:t xml:space="preserve">, the </w:t>
      </w:r>
      <w:proofErr w:type="spellStart"/>
      <w:r w:rsidRPr="00570770">
        <w:rPr>
          <w:rFonts w:ascii="Arial" w:hAnsi="Arial" w:cs="Arial"/>
        </w:rPr>
        <w:t>LasIR</w:t>
      </w:r>
      <w:proofErr w:type="spellEnd"/>
      <w:r w:rsidRPr="00570770">
        <w:rPr>
          <w:rFonts w:ascii="Arial" w:hAnsi="Arial" w:cs="Arial"/>
        </w:rPr>
        <w:t xml:space="preserve"> quorum sensing system allows for collective gene expression in bacterial communities. The protein </w:t>
      </w:r>
      <w:proofErr w:type="spellStart"/>
      <w:r w:rsidRPr="00570770">
        <w:rPr>
          <w:rFonts w:ascii="Arial" w:hAnsi="Arial" w:cs="Arial"/>
        </w:rPr>
        <w:t>LasI</w:t>
      </w:r>
      <w:proofErr w:type="spellEnd"/>
      <w:r w:rsidRPr="00570770">
        <w:rPr>
          <w:rFonts w:ascii="Arial" w:hAnsi="Arial" w:cs="Arial"/>
        </w:rPr>
        <w:t xml:space="preserve"> </w:t>
      </w:r>
      <w:r w:rsidR="00762C1E" w:rsidRPr="00570770">
        <w:rPr>
          <w:rFonts w:ascii="Arial" w:hAnsi="Arial" w:cs="Arial"/>
        </w:rPr>
        <w:t xml:space="preserve">synthesizes an autoinducer, a diffusible acyl-homoserine lactone (AHL), and </w:t>
      </w:r>
      <w:proofErr w:type="spellStart"/>
      <w:r w:rsidR="00762C1E" w:rsidRPr="00570770">
        <w:rPr>
          <w:rFonts w:ascii="Arial" w:hAnsi="Arial" w:cs="Arial"/>
        </w:rPr>
        <w:t>LasR</w:t>
      </w:r>
      <w:proofErr w:type="spellEnd"/>
      <w:r w:rsidR="00762C1E" w:rsidRPr="00570770">
        <w:rPr>
          <w:rFonts w:ascii="Arial" w:hAnsi="Arial" w:cs="Arial"/>
        </w:rPr>
        <w:t xml:space="preserve"> acts a transcriptional activator upon binding to the AHL. At low cell density, the AHL signal is present at basal levels in the environment, but as population size grows, AHL becomes more abundant and reaches a threshold concentration leading to gene expression driven by</w:t>
      </w:r>
      <w:r w:rsidR="00E14533">
        <w:rPr>
          <w:rFonts w:ascii="Arial" w:hAnsi="Arial" w:cs="Arial"/>
        </w:rPr>
        <w:t xml:space="preserve"> a</w:t>
      </w:r>
      <w:r w:rsidR="00762C1E" w:rsidRPr="00570770">
        <w:rPr>
          <w:rFonts w:ascii="Arial" w:hAnsi="Arial" w:cs="Arial"/>
        </w:rPr>
        <w:t xml:space="preserve"> </w:t>
      </w:r>
      <w:proofErr w:type="spellStart"/>
      <w:r w:rsidR="00336963" w:rsidRPr="00570770">
        <w:rPr>
          <w:rFonts w:ascii="Arial" w:hAnsi="Arial" w:cs="Arial"/>
        </w:rPr>
        <w:t>LuxR</w:t>
      </w:r>
      <w:proofErr w:type="spellEnd"/>
      <w:r w:rsidR="00336963" w:rsidRPr="00570770">
        <w:rPr>
          <w:rFonts w:ascii="Arial" w:hAnsi="Arial" w:cs="Arial"/>
        </w:rPr>
        <w:t>/AHL complex</w:t>
      </w:r>
      <w:r w:rsidR="00E14533">
        <w:rPr>
          <w:rFonts w:ascii="Arial" w:hAnsi="Arial" w:cs="Arial"/>
          <w:vertAlign w:val="superscript"/>
        </w:rPr>
        <w:t>5</w:t>
      </w:r>
      <w:r w:rsidR="004046C9" w:rsidRPr="00570770">
        <w:rPr>
          <w:rFonts w:ascii="Arial" w:hAnsi="Arial" w:cs="Arial"/>
        </w:rPr>
        <w:t>.</w:t>
      </w:r>
    </w:p>
    <w:p w14:paraId="0C0AF7C3" w14:textId="1BCFBA93" w:rsidR="00762C1E" w:rsidRPr="00570770" w:rsidRDefault="00762C1E">
      <w:pPr>
        <w:rPr>
          <w:rFonts w:ascii="Arial" w:hAnsi="Arial" w:cs="Arial"/>
        </w:rPr>
      </w:pPr>
    </w:p>
    <w:p w14:paraId="0B355EDD" w14:textId="261B0876" w:rsidR="00762C1E" w:rsidRPr="00570770" w:rsidRDefault="00762C1E">
      <w:pPr>
        <w:rPr>
          <w:rFonts w:ascii="Arial" w:hAnsi="Arial" w:cs="Arial"/>
        </w:rPr>
      </w:pPr>
      <w:r w:rsidRPr="00570770">
        <w:rPr>
          <w:rFonts w:ascii="Arial" w:hAnsi="Arial" w:cs="Arial"/>
        </w:rPr>
        <w:t>The goal of this assay is to confirm the successful</w:t>
      </w:r>
      <w:r w:rsidR="00AC09A1" w:rsidRPr="00570770">
        <w:rPr>
          <w:rFonts w:ascii="Arial" w:hAnsi="Arial" w:cs="Arial"/>
        </w:rPr>
        <w:t xml:space="preserve"> recombinant</w:t>
      </w:r>
      <w:r w:rsidRPr="00570770">
        <w:rPr>
          <w:rFonts w:ascii="Arial" w:hAnsi="Arial" w:cs="Arial"/>
        </w:rPr>
        <w:t xml:space="preserve"> plasmid-based expression of </w:t>
      </w:r>
      <w:r w:rsidR="00AC09A1" w:rsidRPr="00570770">
        <w:rPr>
          <w:rFonts w:ascii="Arial" w:hAnsi="Arial" w:cs="Arial"/>
        </w:rPr>
        <w:t xml:space="preserve">the </w:t>
      </w:r>
      <w:proofErr w:type="spellStart"/>
      <w:r w:rsidRPr="00570770">
        <w:rPr>
          <w:rFonts w:ascii="Arial" w:hAnsi="Arial" w:cs="Arial"/>
        </w:rPr>
        <w:t>LasI</w:t>
      </w:r>
      <w:r w:rsidR="00AC09A1" w:rsidRPr="00570770">
        <w:rPr>
          <w:rFonts w:ascii="Arial" w:hAnsi="Arial" w:cs="Arial"/>
        </w:rPr>
        <w:t>R</w:t>
      </w:r>
      <w:proofErr w:type="spellEnd"/>
      <w:r w:rsidR="00AC09A1" w:rsidRPr="00570770">
        <w:rPr>
          <w:rFonts w:ascii="Arial" w:hAnsi="Arial" w:cs="Arial"/>
        </w:rPr>
        <w:t xml:space="preserve"> system</w:t>
      </w:r>
      <w:r w:rsidRPr="00570770">
        <w:rPr>
          <w:rFonts w:ascii="Arial" w:hAnsi="Arial" w:cs="Arial"/>
        </w:rPr>
        <w:t xml:space="preserve"> in</w:t>
      </w:r>
      <w:r w:rsidR="002A7BDC">
        <w:rPr>
          <w:rFonts w:ascii="Arial" w:hAnsi="Arial" w:cs="Arial"/>
        </w:rPr>
        <w:t xml:space="preserve"> </w:t>
      </w:r>
      <w:r w:rsidR="002A7BDC">
        <w:rPr>
          <w:rFonts w:ascii="Arial" w:hAnsi="Arial" w:cs="Arial"/>
          <w:i/>
          <w:iCs/>
        </w:rPr>
        <w:t xml:space="preserve">E. coli </w:t>
      </w:r>
      <w:r w:rsidR="002A7BDC">
        <w:rPr>
          <w:rFonts w:ascii="Arial" w:hAnsi="Arial" w:cs="Arial"/>
        </w:rPr>
        <w:t>DH5</w:t>
      </w:r>
      <w:r w:rsidR="002A7BDC">
        <w:rPr>
          <w:rFonts w:ascii="Cambria Math" w:hAnsi="Cambria Math" w:cs="Arial"/>
        </w:rPr>
        <w:t>⍺</w:t>
      </w:r>
      <w:r w:rsidR="002C4FB5">
        <w:rPr>
          <w:rFonts w:ascii="Arial" w:hAnsi="Arial" w:cs="Arial"/>
        </w:rPr>
        <w:t xml:space="preserve">, which does </w:t>
      </w:r>
      <w:r w:rsidR="002A7BDC">
        <w:rPr>
          <w:rFonts w:ascii="Arial" w:hAnsi="Arial" w:cs="Arial"/>
        </w:rPr>
        <w:t xml:space="preserve">not </w:t>
      </w:r>
      <w:r w:rsidR="002C4FB5">
        <w:rPr>
          <w:rFonts w:ascii="Arial" w:hAnsi="Arial" w:cs="Arial"/>
        </w:rPr>
        <w:t>express this system or any orthogonal quorum sensing</w:t>
      </w:r>
      <w:r w:rsidR="002C4FB5">
        <w:rPr>
          <w:rFonts w:ascii="Arial" w:hAnsi="Arial" w:cs="Arial"/>
          <w:vertAlign w:val="superscript"/>
        </w:rPr>
        <w:t>3</w:t>
      </w:r>
      <w:r w:rsidR="002C4FB5">
        <w:rPr>
          <w:rFonts w:ascii="Arial" w:hAnsi="Arial" w:cs="Arial"/>
        </w:rPr>
        <w:t>.</w:t>
      </w:r>
      <w:r w:rsidRPr="00570770">
        <w:rPr>
          <w:rFonts w:ascii="Arial" w:hAnsi="Arial" w:cs="Arial"/>
        </w:rPr>
        <w:t xml:space="preserve"> The assay involves concentrating a population of “sender” </w:t>
      </w:r>
      <w:r w:rsidR="00AC09A1" w:rsidRPr="00570770">
        <w:rPr>
          <w:rFonts w:ascii="Arial" w:hAnsi="Arial" w:cs="Arial"/>
        </w:rPr>
        <w:t xml:space="preserve">cells </w:t>
      </w:r>
      <w:r w:rsidRPr="00570770">
        <w:rPr>
          <w:rFonts w:ascii="Arial" w:hAnsi="Arial" w:cs="Arial"/>
        </w:rPr>
        <w:t xml:space="preserve">containing a plasmid with an inducible copy of </w:t>
      </w:r>
      <w:proofErr w:type="spellStart"/>
      <w:r w:rsidRPr="00570770">
        <w:rPr>
          <w:rFonts w:ascii="Arial" w:hAnsi="Arial" w:cs="Arial"/>
        </w:rPr>
        <w:t>LasI</w:t>
      </w:r>
      <w:proofErr w:type="spellEnd"/>
      <w:r w:rsidR="00AC09A1" w:rsidRPr="00570770">
        <w:rPr>
          <w:rFonts w:ascii="Arial" w:hAnsi="Arial" w:cs="Arial"/>
        </w:rPr>
        <w:t xml:space="preserve"> onto a lawn of “receiver” cells containing a plasmid with constitutively expressed </w:t>
      </w:r>
      <w:proofErr w:type="spellStart"/>
      <w:r w:rsidR="00AC09A1" w:rsidRPr="00570770">
        <w:rPr>
          <w:rFonts w:ascii="Arial" w:hAnsi="Arial" w:cs="Arial"/>
        </w:rPr>
        <w:t>LasR</w:t>
      </w:r>
      <w:proofErr w:type="spellEnd"/>
      <w:r w:rsidR="00AC09A1" w:rsidRPr="00570770">
        <w:rPr>
          <w:rFonts w:ascii="Arial" w:hAnsi="Arial" w:cs="Arial"/>
        </w:rPr>
        <w:t xml:space="preserve"> driving the expression of </w:t>
      </w:r>
      <w:proofErr w:type="spellStart"/>
      <w:r w:rsidR="00AC09A1" w:rsidRPr="00570770">
        <w:rPr>
          <w:rFonts w:ascii="Arial" w:hAnsi="Arial" w:cs="Arial"/>
        </w:rPr>
        <w:t>gfp</w:t>
      </w:r>
      <w:proofErr w:type="spellEnd"/>
      <w:r w:rsidR="00AC09A1" w:rsidRPr="00570770">
        <w:rPr>
          <w:rFonts w:ascii="Arial" w:hAnsi="Arial" w:cs="Arial"/>
        </w:rPr>
        <w:t xml:space="preserve"> in the presence of AHL. If the assay is successful, a “halo” of fluorescence should be observable around the “sender” cell population, confirming that </w:t>
      </w:r>
      <w:proofErr w:type="spellStart"/>
      <w:r w:rsidR="00AC09A1" w:rsidRPr="00570770">
        <w:rPr>
          <w:rFonts w:ascii="Arial" w:hAnsi="Arial" w:cs="Arial"/>
        </w:rPr>
        <w:t>LasI</w:t>
      </w:r>
      <w:proofErr w:type="spellEnd"/>
      <w:r w:rsidR="00AC09A1" w:rsidRPr="00570770">
        <w:rPr>
          <w:rFonts w:ascii="Arial" w:hAnsi="Arial" w:cs="Arial"/>
        </w:rPr>
        <w:t xml:space="preserve"> has been expressed and functions correctly in </w:t>
      </w:r>
      <w:r w:rsidR="002A7BDC">
        <w:rPr>
          <w:rFonts w:ascii="Arial" w:hAnsi="Arial" w:cs="Arial"/>
          <w:i/>
          <w:iCs/>
        </w:rPr>
        <w:t>E.</w:t>
      </w:r>
      <w:r w:rsidR="00255F59">
        <w:rPr>
          <w:rFonts w:ascii="Arial" w:hAnsi="Arial" w:cs="Arial"/>
          <w:i/>
          <w:iCs/>
        </w:rPr>
        <w:t xml:space="preserve"> </w:t>
      </w:r>
      <w:r w:rsidR="002A7BDC">
        <w:rPr>
          <w:rFonts w:ascii="Arial" w:hAnsi="Arial" w:cs="Arial"/>
          <w:i/>
          <w:iCs/>
        </w:rPr>
        <w:t>coli</w:t>
      </w:r>
      <w:r w:rsidR="00AC09A1" w:rsidRPr="00570770">
        <w:rPr>
          <w:rFonts w:ascii="Arial" w:hAnsi="Arial" w:cs="Arial"/>
          <w:i/>
          <w:iCs/>
        </w:rPr>
        <w:t xml:space="preserve"> </w:t>
      </w:r>
      <w:r w:rsidR="00AC09A1" w:rsidRPr="00570770">
        <w:rPr>
          <w:rFonts w:ascii="Arial" w:hAnsi="Arial" w:cs="Arial"/>
        </w:rPr>
        <w:t>as an AHL synthase.</w:t>
      </w:r>
    </w:p>
    <w:p w14:paraId="562F872B" w14:textId="53374D0F" w:rsidR="00AC09A1" w:rsidRPr="00570770" w:rsidRDefault="00AC09A1">
      <w:pPr>
        <w:rPr>
          <w:rFonts w:ascii="Arial" w:hAnsi="Arial" w:cs="Arial"/>
        </w:rPr>
      </w:pPr>
    </w:p>
    <w:p w14:paraId="0B942D7E" w14:textId="24095836" w:rsidR="002B3E2B" w:rsidRPr="00570770" w:rsidRDefault="002B3E2B">
      <w:pPr>
        <w:rPr>
          <w:rFonts w:ascii="Arial" w:hAnsi="Arial" w:cs="Arial"/>
        </w:rPr>
      </w:pPr>
    </w:p>
    <w:p w14:paraId="33A5B14A" w14:textId="6F2ECFD8" w:rsidR="002B3E2B" w:rsidRPr="00570770" w:rsidRDefault="002B3E2B">
      <w:pPr>
        <w:rPr>
          <w:rFonts w:ascii="Arial" w:hAnsi="Arial" w:cs="Arial"/>
          <w:b/>
          <w:bCs/>
        </w:rPr>
      </w:pPr>
      <w:r w:rsidRPr="00570770">
        <w:rPr>
          <w:rFonts w:ascii="Arial" w:hAnsi="Arial" w:cs="Arial"/>
          <w:b/>
          <w:bCs/>
        </w:rPr>
        <w:t xml:space="preserve">Scenario: </w:t>
      </w:r>
    </w:p>
    <w:p w14:paraId="71E89198" w14:textId="02266571" w:rsidR="002B3E2B" w:rsidRPr="00570770" w:rsidRDefault="002B3E2B">
      <w:pPr>
        <w:rPr>
          <w:rFonts w:ascii="Arial" w:hAnsi="Arial" w:cs="Arial"/>
          <w:b/>
          <w:bCs/>
        </w:rPr>
      </w:pPr>
    </w:p>
    <w:p w14:paraId="160E3ED9" w14:textId="76205C8C" w:rsidR="002B3E2B" w:rsidRPr="00570770" w:rsidRDefault="002B3E2B">
      <w:pPr>
        <w:rPr>
          <w:rFonts w:ascii="Arial" w:hAnsi="Arial" w:cs="Arial"/>
        </w:rPr>
      </w:pPr>
      <w:r w:rsidRPr="00570770">
        <w:rPr>
          <w:rFonts w:ascii="Arial" w:hAnsi="Arial" w:cs="Arial"/>
        </w:rPr>
        <w:t xml:space="preserve">You are a researcher interested in assaying the activity of the </w:t>
      </w:r>
      <w:proofErr w:type="spellStart"/>
      <w:r w:rsidRPr="00570770">
        <w:rPr>
          <w:rFonts w:ascii="Arial" w:hAnsi="Arial" w:cs="Arial"/>
        </w:rPr>
        <w:t>LasIR</w:t>
      </w:r>
      <w:proofErr w:type="spellEnd"/>
      <w:r w:rsidRPr="00570770">
        <w:rPr>
          <w:rFonts w:ascii="Arial" w:hAnsi="Arial" w:cs="Arial"/>
        </w:rPr>
        <w:t xml:space="preserve"> system </w:t>
      </w:r>
      <w:r w:rsidR="00032F4F">
        <w:rPr>
          <w:rFonts w:ascii="Arial" w:hAnsi="Arial" w:cs="Arial"/>
        </w:rPr>
        <w:t xml:space="preserve">driven by newly constructed and transformed recombinant plasmids </w:t>
      </w:r>
      <w:r w:rsidRPr="00570770">
        <w:rPr>
          <w:rFonts w:ascii="Arial" w:hAnsi="Arial" w:cs="Arial"/>
        </w:rPr>
        <w:t xml:space="preserve">in </w:t>
      </w:r>
      <w:r w:rsidR="002A7BDC" w:rsidRPr="00335006">
        <w:rPr>
          <w:rFonts w:ascii="Arial" w:hAnsi="Arial" w:cs="Arial"/>
          <w:i/>
          <w:iCs/>
        </w:rPr>
        <w:t>E.</w:t>
      </w:r>
      <w:r w:rsidR="00255F59">
        <w:rPr>
          <w:rFonts w:ascii="Arial" w:hAnsi="Arial" w:cs="Arial"/>
          <w:i/>
          <w:iCs/>
        </w:rPr>
        <w:t xml:space="preserve"> </w:t>
      </w:r>
      <w:r w:rsidR="002A7BDC" w:rsidRPr="00335006">
        <w:rPr>
          <w:rFonts w:ascii="Arial" w:hAnsi="Arial" w:cs="Arial"/>
          <w:i/>
          <w:iCs/>
        </w:rPr>
        <w:t>coli</w:t>
      </w:r>
      <w:r w:rsidRPr="00570770">
        <w:rPr>
          <w:rFonts w:ascii="Arial" w:hAnsi="Arial" w:cs="Arial"/>
          <w:i/>
          <w:iCs/>
        </w:rPr>
        <w:t xml:space="preserve"> </w:t>
      </w:r>
      <w:r w:rsidRPr="00570770">
        <w:rPr>
          <w:rFonts w:ascii="Arial" w:hAnsi="Arial" w:cs="Arial"/>
        </w:rPr>
        <w:t>using the method described above.</w:t>
      </w:r>
      <w:r w:rsidR="00C51F8B" w:rsidRPr="00570770">
        <w:rPr>
          <w:rFonts w:ascii="Arial" w:hAnsi="Arial" w:cs="Arial"/>
        </w:rPr>
        <w:t xml:space="preserve"> </w:t>
      </w:r>
      <w:r w:rsidRPr="00570770">
        <w:rPr>
          <w:rFonts w:ascii="Arial" w:hAnsi="Arial" w:cs="Arial"/>
        </w:rPr>
        <w:t xml:space="preserve">You have successfully performed this assay </w:t>
      </w:r>
      <w:r w:rsidR="00336963" w:rsidRPr="00570770">
        <w:rPr>
          <w:rFonts w:ascii="Arial" w:hAnsi="Arial" w:cs="Arial"/>
        </w:rPr>
        <w:t xml:space="preserve">multiple times </w:t>
      </w:r>
      <w:r w:rsidRPr="00570770">
        <w:rPr>
          <w:rFonts w:ascii="Arial" w:hAnsi="Arial" w:cs="Arial"/>
        </w:rPr>
        <w:t>with a homologous quorum sensing</w:t>
      </w:r>
      <w:r w:rsidR="00336963" w:rsidRPr="00570770">
        <w:rPr>
          <w:rFonts w:ascii="Arial" w:hAnsi="Arial" w:cs="Arial"/>
        </w:rPr>
        <w:t xml:space="preserve"> system, so you expect similar </w:t>
      </w:r>
      <w:r w:rsidR="00602716" w:rsidRPr="00570770">
        <w:rPr>
          <w:rFonts w:ascii="Arial" w:hAnsi="Arial" w:cs="Arial"/>
        </w:rPr>
        <w:t xml:space="preserve">results. You </w:t>
      </w:r>
      <w:r w:rsidR="00376085" w:rsidRPr="00570770">
        <w:rPr>
          <w:rFonts w:ascii="Arial" w:hAnsi="Arial" w:cs="Arial"/>
        </w:rPr>
        <w:t>are aware that this system is not as robust</w:t>
      </w:r>
      <w:r w:rsidR="00336963" w:rsidRPr="00570770">
        <w:rPr>
          <w:rFonts w:ascii="Arial" w:hAnsi="Arial" w:cs="Arial"/>
        </w:rPr>
        <w:t xml:space="preserve">. </w:t>
      </w:r>
      <w:r w:rsidR="00376085" w:rsidRPr="00570770">
        <w:rPr>
          <w:rFonts w:ascii="Arial" w:hAnsi="Arial" w:cs="Arial"/>
        </w:rPr>
        <w:t>After performing the assay three times, you see no fluorescence under any conditions, induced or uninduced.</w:t>
      </w:r>
    </w:p>
    <w:p w14:paraId="7363562C" w14:textId="57549CBE" w:rsidR="00C51F8B" w:rsidRPr="00570770" w:rsidRDefault="00C51F8B">
      <w:pPr>
        <w:rPr>
          <w:rFonts w:ascii="Arial" w:hAnsi="Arial" w:cs="Arial"/>
        </w:rPr>
      </w:pPr>
    </w:p>
    <w:p w14:paraId="28595E74" w14:textId="63E1F5C9" w:rsidR="00032F4F" w:rsidRDefault="00032F4F" w:rsidP="00C51F8B">
      <w:pPr>
        <w:rPr>
          <w:rFonts w:ascii="Arial" w:hAnsi="Arial" w:cs="Arial"/>
          <w:b/>
          <w:bCs/>
        </w:rPr>
      </w:pPr>
      <w:r>
        <w:rPr>
          <w:rFonts w:ascii="Arial" w:hAnsi="Arial" w:cs="Arial"/>
          <w:noProof/>
        </w:rPr>
        <w:drawing>
          <wp:anchor distT="0" distB="0" distL="114300" distR="114300" simplePos="0" relativeHeight="251668480" behindDoc="0" locked="0" layoutInCell="1" allowOverlap="1" wp14:anchorId="0C257500" wp14:editId="38AB75E5">
            <wp:simplePos x="0" y="0"/>
            <wp:positionH relativeFrom="column">
              <wp:posOffset>3438525</wp:posOffset>
            </wp:positionH>
            <wp:positionV relativeFrom="paragraph">
              <wp:posOffset>116923</wp:posOffset>
            </wp:positionV>
            <wp:extent cx="2960613" cy="2292049"/>
            <wp:effectExtent l="0" t="0" r="0" b="0"/>
            <wp:wrapNone/>
            <wp:docPr id="1705331110" name="Picture 5">
              <a:extLst xmlns:a="http://schemas.openxmlformats.org/drawingml/2006/main">
                <a:ext uri="{FF2B5EF4-FFF2-40B4-BE49-F238E27FC236}">
                  <a16:creationId xmlns:a16="http://schemas.microsoft.com/office/drawing/2014/main" id="{81519CF3-3BB8-E3CA-9C98-9E836D78FD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331110" name="Picture 1705331110">
                      <a:extLst>
                        <a:ext uri="{FF2B5EF4-FFF2-40B4-BE49-F238E27FC236}">
                          <a16:creationId xmlns:a16="http://schemas.microsoft.com/office/drawing/2014/main" id="{81519CF3-3BB8-E3CA-9C98-9E836D78FD6B}"/>
                        </a:ext>
                      </a:extLst>
                    </pic:cNvPr>
                    <pic:cNvPicPr>
                      <a:picLocks noChangeAspect="1"/>
                    </pic:cNvPicPr>
                  </pic:nvPicPr>
                  <pic:blipFill rotWithShape="1">
                    <a:blip r:embed="rId5"/>
                    <a:srcRect l="5958"/>
                    <a:stretch/>
                  </pic:blipFill>
                  <pic:spPr>
                    <a:xfrm>
                      <a:off x="0" y="0"/>
                      <a:ext cx="2960613" cy="2292049"/>
                    </a:xfrm>
                    <a:prstGeom prst="rect">
                      <a:avLst/>
                    </a:prstGeom>
                  </pic:spPr>
                </pic:pic>
              </a:graphicData>
            </a:graphic>
          </wp:anchor>
        </w:drawing>
      </w:r>
      <w:r>
        <w:rPr>
          <w:rFonts w:ascii="Arial" w:hAnsi="Arial" w:cs="Arial"/>
          <w:b/>
          <w:bCs/>
          <w:noProof/>
        </w:rPr>
        <w:drawing>
          <wp:anchor distT="0" distB="0" distL="114300" distR="114300" simplePos="0" relativeHeight="251665408" behindDoc="0" locked="0" layoutInCell="1" allowOverlap="1" wp14:anchorId="0D99E495" wp14:editId="3F604603">
            <wp:simplePos x="0" y="0"/>
            <wp:positionH relativeFrom="column">
              <wp:posOffset>-417443</wp:posOffset>
            </wp:positionH>
            <wp:positionV relativeFrom="paragraph">
              <wp:posOffset>119739</wp:posOffset>
            </wp:positionV>
            <wp:extent cx="2682021" cy="2096510"/>
            <wp:effectExtent l="0" t="0" r="0" b="0"/>
            <wp:wrapNone/>
            <wp:docPr id="1120966426" name="Picture 4">
              <a:extLst xmlns:a="http://schemas.openxmlformats.org/drawingml/2006/main">
                <a:ext uri="{FF2B5EF4-FFF2-40B4-BE49-F238E27FC236}">
                  <a16:creationId xmlns:a16="http://schemas.microsoft.com/office/drawing/2014/main" id="{F5FCD605-AD1E-8F98-8387-6C7EEDE1A2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966426" name="Picture 1120966426">
                      <a:extLst>
                        <a:ext uri="{FF2B5EF4-FFF2-40B4-BE49-F238E27FC236}">
                          <a16:creationId xmlns:a16="http://schemas.microsoft.com/office/drawing/2014/main" id="{F5FCD605-AD1E-8F98-8387-6C7EEDE1A2DD}"/>
                        </a:ext>
                      </a:extLst>
                    </pic:cNvPr>
                    <pic:cNvPicPr>
                      <a:picLocks noChangeAspect="1"/>
                    </pic:cNvPicPr>
                  </pic:nvPicPr>
                  <pic:blipFill>
                    <a:blip r:embed="rId6"/>
                    <a:stretch>
                      <a:fillRect/>
                    </a:stretch>
                  </pic:blipFill>
                  <pic:spPr>
                    <a:xfrm>
                      <a:off x="0" y="0"/>
                      <a:ext cx="2682021" cy="2096510"/>
                    </a:xfrm>
                    <a:prstGeom prst="rect">
                      <a:avLst/>
                    </a:prstGeom>
                  </pic:spPr>
                </pic:pic>
              </a:graphicData>
            </a:graphic>
            <wp14:sizeRelH relativeFrom="margin">
              <wp14:pctWidth>0</wp14:pctWidth>
            </wp14:sizeRelH>
            <wp14:sizeRelV relativeFrom="margin">
              <wp14:pctHeight>0</wp14:pctHeight>
            </wp14:sizeRelV>
          </wp:anchor>
        </w:drawing>
      </w:r>
    </w:p>
    <w:p w14:paraId="3A028891" w14:textId="2F838715" w:rsidR="00032F4F" w:rsidRDefault="00032F4F" w:rsidP="00C51F8B">
      <w:pPr>
        <w:rPr>
          <w:rFonts w:ascii="Arial" w:hAnsi="Arial" w:cs="Arial"/>
          <w:b/>
          <w:bCs/>
        </w:rPr>
      </w:pPr>
    </w:p>
    <w:p w14:paraId="7A1BB07C" w14:textId="10FF72FB" w:rsidR="00032F4F" w:rsidRDefault="00032F4F" w:rsidP="00C51F8B">
      <w:pPr>
        <w:rPr>
          <w:rFonts w:ascii="Arial" w:hAnsi="Arial" w:cs="Arial"/>
          <w:b/>
          <w:bCs/>
        </w:rPr>
      </w:pPr>
    </w:p>
    <w:p w14:paraId="466BF939" w14:textId="77777777" w:rsidR="00032F4F" w:rsidRDefault="00032F4F" w:rsidP="00C51F8B">
      <w:pPr>
        <w:rPr>
          <w:rFonts w:ascii="Arial" w:hAnsi="Arial" w:cs="Arial"/>
          <w:b/>
          <w:bCs/>
        </w:rPr>
      </w:pPr>
    </w:p>
    <w:p w14:paraId="64A020F5" w14:textId="4FA5E7FC" w:rsidR="00032F4F" w:rsidRDefault="00032F4F" w:rsidP="00C51F8B">
      <w:pPr>
        <w:rPr>
          <w:rFonts w:ascii="Arial" w:hAnsi="Arial" w:cs="Arial"/>
          <w:b/>
          <w:bCs/>
        </w:rPr>
      </w:pPr>
    </w:p>
    <w:p w14:paraId="716EBA0F" w14:textId="48C86EC0" w:rsidR="00032F4F" w:rsidRDefault="00032F4F" w:rsidP="00C51F8B">
      <w:pPr>
        <w:rPr>
          <w:rFonts w:ascii="Arial" w:hAnsi="Arial" w:cs="Arial"/>
          <w:b/>
          <w:bCs/>
        </w:rPr>
      </w:pPr>
    </w:p>
    <w:p w14:paraId="47F5894B" w14:textId="6657730F" w:rsidR="00032F4F" w:rsidRDefault="00032F4F" w:rsidP="00C51F8B">
      <w:pPr>
        <w:rPr>
          <w:rFonts w:ascii="Arial" w:hAnsi="Arial" w:cs="Arial"/>
          <w:b/>
          <w:bCs/>
        </w:rPr>
      </w:pPr>
    </w:p>
    <w:p w14:paraId="0569CFAC" w14:textId="77777777" w:rsidR="00032F4F" w:rsidRDefault="00032F4F" w:rsidP="00C51F8B">
      <w:pPr>
        <w:rPr>
          <w:rFonts w:ascii="Arial" w:hAnsi="Arial" w:cs="Arial"/>
          <w:b/>
          <w:bCs/>
        </w:rPr>
      </w:pPr>
    </w:p>
    <w:p w14:paraId="7F4FB0C8" w14:textId="77777777" w:rsidR="00032F4F" w:rsidRDefault="00032F4F" w:rsidP="00C51F8B">
      <w:pPr>
        <w:rPr>
          <w:rFonts w:ascii="Arial" w:hAnsi="Arial" w:cs="Arial"/>
          <w:b/>
          <w:bCs/>
        </w:rPr>
      </w:pPr>
    </w:p>
    <w:p w14:paraId="76266590" w14:textId="77777777" w:rsidR="00032F4F" w:rsidRDefault="00032F4F" w:rsidP="00C51F8B">
      <w:pPr>
        <w:rPr>
          <w:rFonts w:ascii="Arial" w:hAnsi="Arial" w:cs="Arial"/>
          <w:b/>
          <w:bCs/>
        </w:rPr>
      </w:pPr>
    </w:p>
    <w:p w14:paraId="105BCAE8" w14:textId="43CA0872" w:rsidR="00032F4F" w:rsidRDefault="00032F4F" w:rsidP="00C51F8B">
      <w:pPr>
        <w:rPr>
          <w:rFonts w:ascii="Arial" w:hAnsi="Arial" w:cs="Arial"/>
          <w:b/>
          <w:bCs/>
        </w:rPr>
      </w:pPr>
    </w:p>
    <w:p w14:paraId="5BE93AC1" w14:textId="77777777" w:rsidR="00032F4F" w:rsidRDefault="00032F4F" w:rsidP="00C51F8B">
      <w:pPr>
        <w:rPr>
          <w:rFonts w:ascii="Arial" w:hAnsi="Arial" w:cs="Arial"/>
          <w:b/>
          <w:bCs/>
        </w:rPr>
      </w:pPr>
    </w:p>
    <w:p w14:paraId="50D3AC0A" w14:textId="235F4A39" w:rsidR="00032F4F" w:rsidRDefault="00032F4F" w:rsidP="00C51F8B">
      <w:pPr>
        <w:rPr>
          <w:rFonts w:ascii="Arial" w:hAnsi="Arial" w:cs="Arial"/>
          <w:b/>
          <w:bCs/>
        </w:rPr>
      </w:pPr>
      <w:r>
        <w:rPr>
          <w:rFonts w:ascii="Arial" w:hAnsi="Arial" w:cs="Arial"/>
          <w:b/>
          <w:bCs/>
          <w:noProof/>
        </w:rPr>
        <mc:AlternateContent>
          <mc:Choice Requires="wps">
            <w:drawing>
              <wp:anchor distT="0" distB="0" distL="114300" distR="114300" simplePos="0" relativeHeight="251666432" behindDoc="0" locked="0" layoutInCell="1" allowOverlap="1" wp14:anchorId="7568DD9E" wp14:editId="7D7F118A">
                <wp:simplePos x="0" y="0"/>
                <wp:positionH relativeFrom="column">
                  <wp:posOffset>-417195</wp:posOffset>
                </wp:positionH>
                <wp:positionV relativeFrom="paragraph">
                  <wp:posOffset>253447</wp:posOffset>
                </wp:positionV>
                <wp:extent cx="3235325" cy="785192"/>
                <wp:effectExtent l="0" t="0" r="0" b="0"/>
                <wp:wrapNone/>
                <wp:docPr id="479320334" name="TextBox 5">
                  <a:extLst xmlns:a="http://schemas.openxmlformats.org/drawingml/2006/main">
                    <a:ext uri="{FF2B5EF4-FFF2-40B4-BE49-F238E27FC236}">
                      <a16:creationId xmlns:a16="http://schemas.microsoft.com/office/drawing/2014/main" id="{AF8E8879-88EF-0FAD-208A-F42EAE9541EF}"/>
                    </a:ext>
                  </a:extLst>
                </wp:docPr>
                <wp:cNvGraphicFramePr/>
                <a:graphic xmlns:a="http://schemas.openxmlformats.org/drawingml/2006/main">
                  <a:graphicData uri="http://schemas.microsoft.com/office/word/2010/wordprocessingShape">
                    <wps:wsp>
                      <wps:cNvSpPr txBox="1"/>
                      <wps:spPr>
                        <a:xfrm>
                          <a:off x="0" y="0"/>
                          <a:ext cx="3235325" cy="785192"/>
                        </a:xfrm>
                        <a:prstGeom prst="rect">
                          <a:avLst/>
                        </a:prstGeom>
                        <a:noFill/>
                      </wps:spPr>
                      <wps:txbx>
                        <w:txbxContent>
                          <w:p w14:paraId="3A31F0F2" w14:textId="77777777" w:rsidR="00032F4F" w:rsidRPr="00032F4F" w:rsidRDefault="00032F4F" w:rsidP="00032F4F">
                            <w:pPr>
                              <w:rPr>
                                <w:rFonts w:ascii="Arial" w:eastAsia="Calibri" w:hAnsi="Arial"/>
                                <w:b/>
                                <w:bCs/>
                                <w:color w:val="000000" w:themeColor="text1"/>
                                <w:sz w:val="21"/>
                                <w:szCs w:val="21"/>
                              </w:rPr>
                            </w:pPr>
                            <w:r w:rsidRPr="00032F4F">
                              <w:rPr>
                                <w:rFonts w:ascii="Arial" w:eastAsia="Calibri" w:hAnsi="Arial"/>
                                <w:b/>
                                <w:bCs/>
                                <w:color w:val="000000" w:themeColor="text1"/>
                                <w:sz w:val="21"/>
                                <w:szCs w:val="21"/>
                              </w:rPr>
                              <w:t xml:space="preserve">Sender plasmid </w:t>
                            </w:r>
                          </w:p>
                          <w:p w14:paraId="28F53720" w14:textId="425FCAB4" w:rsidR="00032F4F" w:rsidRPr="00032F4F" w:rsidRDefault="00032F4F" w:rsidP="00032F4F">
                            <w:pPr>
                              <w:rPr>
                                <w:rFonts w:ascii="Arial" w:eastAsia="Calibri" w:hAnsi="Arial"/>
                                <w:color w:val="000000" w:themeColor="text1"/>
                                <w:sz w:val="21"/>
                                <w:szCs w:val="21"/>
                              </w:rPr>
                            </w:pPr>
                            <w:r w:rsidRPr="00032F4F">
                              <w:rPr>
                                <w:rFonts w:ascii="Arial" w:eastAsia="Calibri" w:hAnsi="Arial"/>
                                <w:color w:val="000000" w:themeColor="text1"/>
                                <w:sz w:val="21"/>
                                <w:szCs w:val="21"/>
                              </w:rPr>
                              <w:t xml:space="preserve">Addition of IPTG leads to expression of </w:t>
                            </w:r>
                            <w:proofErr w:type="spellStart"/>
                            <w:r w:rsidRPr="00032F4F">
                              <w:rPr>
                                <w:rFonts w:ascii="Arial" w:eastAsia="Calibri" w:hAnsi="Arial"/>
                                <w:color w:val="000000" w:themeColor="text1"/>
                                <w:sz w:val="21"/>
                                <w:szCs w:val="21"/>
                              </w:rPr>
                              <w:t>LasI</w:t>
                            </w:r>
                            <w:proofErr w:type="spellEnd"/>
                            <w:r w:rsidRPr="00032F4F">
                              <w:rPr>
                                <w:rFonts w:ascii="Arial" w:eastAsia="Calibri" w:hAnsi="Arial"/>
                                <w:color w:val="000000" w:themeColor="text1"/>
                                <w:sz w:val="21"/>
                                <w:szCs w:val="21"/>
                              </w:rPr>
                              <w:t xml:space="preserve"> which synthesizes OC12</w:t>
                            </w:r>
                            <w:r>
                              <w:rPr>
                                <w:rFonts w:ascii="Arial" w:eastAsia="Calibri" w:hAnsi="Arial"/>
                                <w:color w:val="000000" w:themeColor="text1"/>
                                <w:sz w:val="21"/>
                                <w:szCs w:val="21"/>
                              </w:rPr>
                              <w:t>.</w:t>
                            </w:r>
                          </w:p>
                        </w:txbxContent>
                      </wps:txbx>
                      <wps:bodyPr wrap="square">
                        <a:noAutofit/>
                      </wps:bodyPr>
                    </wps:wsp>
                  </a:graphicData>
                </a:graphic>
                <wp14:sizeRelV relativeFrom="margin">
                  <wp14:pctHeight>0</wp14:pctHeight>
                </wp14:sizeRelV>
              </wp:anchor>
            </w:drawing>
          </mc:Choice>
          <mc:Fallback>
            <w:pict>
              <v:shapetype w14:anchorId="7568DD9E" id="_x0000_t202" coordsize="21600,21600" o:spt="202" path="m,l,21600r21600,l21600,xe">
                <v:stroke joinstyle="miter"/>
                <v:path gradientshapeok="t" o:connecttype="rect"/>
              </v:shapetype>
              <v:shape id="TextBox 5" o:spid="_x0000_s1026" type="#_x0000_t202" style="position:absolute;margin-left:-32.85pt;margin-top:19.95pt;width:254.75pt;height:61.8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gLUJdgEAAN4CAAAOAAAAZHJzL2Uyb0RvYy54bWysUstOwzAQvCPxD5bvNG2q8oiaIhCCCwIk&#13;&#10;4ANcx24sxV7jdZv071m7pUVwQ1w29j7GszOZXw+2YxsV0ICr+WQ05kw5CY1xq5q/v92fXXKGUbhG&#13;&#10;dOBUzbcK+fXi9GTe+0qV0ELXqMAIxGHV+5q3MfqqKFC2ygocgVeOihqCFZGuYVU0QfSEbruiHI/P&#13;&#10;ix5C4wNIhUjZu12RLzK+1krGZ61RRdbVnLjFHEOOyxSLxVxUqyB8a+SehvgDCyuMo0cPUHciCrYO&#13;&#10;5heUNTIAgo4jCbYArY1UeQfaZjL+sc1rK7zKu5A46A8y4f/ByqfNq38JLA63MJCBSZDeY4WUTPsM&#13;&#10;Otj0JaaM6iTh9iCbGiKTlJyW09m0nHEmqXZxOZtclQmmOE77gPFBgWXpUPNAtmS1xOYR4671qyU9&#13;&#10;5uDedF3KH6mkUxyWw57fEpot0e7JuZrjx1qEJFQavVlH0Cajppld4x6KRMy89oYnl77fc9fxt1x8&#13;&#10;AgAA//8DAFBLAwQUAAYACAAAACEAI2Uk0uMAAAAPAQAADwAAAGRycy9kb3ducmV2LnhtbEyPzU7D&#13;&#10;MBCE70i8g7VI3FobkgaSxqkQFVdQy4/EzY23SUS8jmK3CW/PcoLLSqv9Znam3MyuF2ccQ+dJw81S&#13;&#10;gUCqve2o0fD2+rS4BxGiIWt6T6jhGwNsqsuL0hTWT7TD8z42gk0oFEZDG+NQSBnqFp0JSz8g8e3o&#13;&#10;R2cir2Mj7WgmNne9vFUqk850xB9aM+Bji/XX/uQ0vD8fPz9S9dJs3WqY/KwkuVxqfX01b9c8HtYg&#13;&#10;Is7xTwG/HTg/VBzs4E9kg+g1LLLVHaMakjwHwUCaJlzowGSWZCCrUv7vUf0AAAD//wMAUEsBAi0A&#13;&#10;FAAGAAgAAAAhALaDOJL+AAAA4QEAABMAAAAAAAAAAAAAAAAAAAAAAFtDb250ZW50X1R5cGVzXS54&#13;&#10;bWxQSwECLQAUAAYACAAAACEAOP0h/9YAAACUAQAACwAAAAAAAAAAAAAAAAAvAQAAX3JlbHMvLnJl&#13;&#10;bHNQSwECLQAUAAYACAAAACEAW4C1CXYBAADeAgAADgAAAAAAAAAAAAAAAAAuAgAAZHJzL2Uyb0Rv&#13;&#10;Yy54bWxQSwECLQAUAAYACAAAACEAI2Uk0uMAAAAPAQAADwAAAAAAAAAAAAAAAADQAwAAZHJzL2Rv&#13;&#10;d25yZXYueG1sUEsFBgAAAAAEAAQA8wAAAOAEAAAAAA==&#13;&#10;" filled="f" stroked="f">
                <v:textbox>
                  <w:txbxContent>
                    <w:p w14:paraId="3A31F0F2" w14:textId="77777777" w:rsidR="00032F4F" w:rsidRPr="00032F4F" w:rsidRDefault="00032F4F" w:rsidP="00032F4F">
                      <w:pPr>
                        <w:rPr>
                          <w:rFonts w:ascii="Arial" w:eastAsia="Calibri" w:hAnsi="Arial"/>
                          <w:b/>
                          <w:bCs/>
                          <w:color w:val="000000" w:themeColor="text1"/>
                          <w:sz w:val="21"/>
                          <w:szCs w:val="21"/>
                        </w:rPr>
                      </w:pPr>
                      <w:r w:rsidRPr="00032F4F">
                        <w:rPr>
                          <w:rFonts w:ascii="Arial" w:eastAsia="Calibri" w:hAnsi="Arial"/>
                          <w:b/>
                          <w:bCs/>
                          <w:color w:val="000000" w:themeColor="text1"/>
                          <w:sz w:val="21"/>
                          <w:szCs w:val="21"/>
                        </w:rPr>
                        <w:t xml:space="preserve">Sender plasmid </w:t>
                      </w:r>
                    </w:p>
                    <w:p w14:paraId="28F53720" w14:textId="425FCAB4" w:rsidR="00032F4F" w:rsidRPr="00032F4F" w:rsidRDefault="00032F4F" w:rsidP="00032F4F">
                      <w:pPr>
                        <w:rPr>
                          <w:rFonts w:ascii="Arial" w:eastAsia="Calibri" w:hAnsi="Arial"/>
                          <w:color w:val="000000" w:themeColor="text1"/>
                          <w:sz w:val="21"/>
                          <w:szCs w:val="21"/>
                        </w:rPr>
                      </w:pPr>
                      <w:r w:rsidRPr="00032F4F">
                        <w:rPr>
                          <w:rFonts w:ascii="Arial" w:eastAsia="Calibri" w:hAnsi="Arial"/>
                          <w:color w:val="000000" w:themeColor="text1"/>
                          <w:sz w:val="21"/>
                          <w:szCs w:val="21"/>
                        </w:rPr>
                        <w:t xml:space="preserve">Addition of IPTG leads to expression of </w:t>
                      </w:r>
                      <w:proofErr w:type="spellStart"/>
                      <w:r w:rsidRPr="00032F4F">
                        <w:rPr>
                          <w:rFonts w:ascii="Arial" w:eastAsia="Calibri" w:hAnsi="Arial"/>
                          <w:color w:val="000000" w:themeColor="text1"/>
                          <w:sz w:val="21"/>
                          <w:szCs w:val="21"/>
                        </w:rPr>
                        <w:t>LasI</w:t>
                      </w:r>
                      <w:proofErr w:type="spellEnd"/>
                      <w:r w:rsidRPr="00032F4F">
                        <w:rPr>
                          <w:rFonts w:ascii="Arial" w:eastAsia="Calibri" w:hAnsi="Arial"/>
                          <w:color w:val="000000" w:themeColor="text1"/>
                          <w:sz w:val="21"/>
                          <w:szCs w:val="21"/>
                        </w:rPr>
                        <w:t xml:space="preserve"> which synthesizes OC12</w:t>
                      </w:r>
                      <w:r>
                        <w:rPr>
                          <w:rFonts w:ascii="Arial" w:eastAsia="Calibri" w:hAnsi="Arial"/>
                          <w:color w:val="000000" w:themeColor="text1"/>
                          <w:sz w:val="21"/>
                          <w:szCs w:val="21"/>
                        </w:rPr>
                        <w:t>.</w:t>
                      </w:r>
                    </w:p>
                  </w:txbxContent>
                </v:textbox>
              </v:shape>
            </w:pict>
          </mc:Fallback>
        </mc:AlternateContent>
      </w:r>
    </w:p>
    <w:p w14:paraId="2112709F" w14:textId="19AF43A0" w:rsidR="00032F4F" w:rsidRDefault="00032F4F" w:rsidP="00C51F8B">
      <w:pPr>
        <w:rPr>
          <w:rFonts w:ascii="Arial" w:hAnsi="Arial" w:cs="Arial"/>
          <w:b/>
          <w:bCs/>
        </w:rPr>
      </w:pPr>
      <w:r>
        <w:rPr>
          <w:rFonts w:ascii="Arial" w:hAnsi="Arial" w:cs="Arial"/>
          <w:b/>
          <w:bCs/>
          <w:noProof/>
        </w:rPr>
        <mc:AlternateContent>
          <mc:Choice Requires="wps">
            <w:drawing>
              <wp:anchor distT="0" distB="0" distL="114300" distR="114300" simplePos="0" relativeHeight="251669504" behindDoc="0" locked="0" layoutInCell="1" allowOverlap="1" wp14:anchorId="1DF81428" wp14:editId="0341D9C4">
                <wp:simplePos x="0" y="0"/>
                <wp:positionH relativeFrom="column">
                  <wp:posOffset>3468757</wp:posOffset>
                </wp:positionH>
                <wp:positionV relativeFrom="paragraph">
                  <wp:posOffset>127994</wp:posOffset>
                </wp:positionV>
                <wp:extent cx="3235611" cy="596016"/>
                <wp:effectExtent l="0" t="0" r="0" b="0"/>
                <wp:wrapNone/>
                <wp:docPr id="1041933500" name="TextBox 8">
                  <a:extLst xmlns:a="http://schemas.openxmlformats.org/drawingml/2006/main">
                    <a:ext uri="{FF2B5EF4-FFF2-40B4-BE49-F238E27FC236}">
                      <a16:creationId xmlns:a16="http://schemas.microsoft.com/office/drawing/2014/main" id="{A5CB8B2D-D889-C29A-9EA6-FA9C8518C81A}"/>
                    </a:ext>
                  </a:extLst>
                </wp:docPr>
                <wp:cNvGraphicFramePr/>
                <a:graphic xmlns:a="http://schemas.openxmlformats.org/drawingml/2006/main">
                  <a:graphicData uri="http://schemas.microsoft.com/office/word/2010/wordprocessingShape">
                    <wps:wsp>
                      <wps:cNvSpPr txBox="1"/>
                      <wps:spPr>
                        <a:xfrm>
                          <a:off x="0" y="0"/>
                          <a:ext cx="3235611" cy="596016"/>
                        </a:xfrm>
                        <a:prstGeom prst="rect">
                          <a:avLst/>
                        </a:prstGeom>
                        <a:noFill/>
                      </wps:spPr>
                      <wps:txbx>
                        <w:txbxContent>
                          <w:p w14:paraId="62509DD7" w14:textId="77777777" w:rsidR="00032F4F" w:rsidRPr="00032F4F" w:rsidRDefault="00032F4F" w:rsidP="00032F4F">
                            <w:pPr>
                              <w:rPr>
                                <w:rFonts w:ascii="Arial" w:eastAsia="Calibri" w:hAnsi="Arial"/>
                                <w:b/>
                                <w:bCs/>
                                <w:color w:val="000000" w:themeColor="text1"/>
                                <w:sz w:val="21"/>
                                <w:szCs w:val="21"/>
                              </w:rPr>
                            </w:pPr>
                            <w:r w:rsidRPr="00032F4F">
                              <w:rPr>
                                <w:rFonts w:ascii="Arial" w:eastAsia="Calibri" w:hAnsi="Arial"/>
                                <w:b/>
                                <w:bCs/>
                                <w:color w:val="000000" w:themeColor="text1"/>
                                <w:sz w:val="21"/>
                                <w:szCs w:val="21"/>
                              </w:rPr>
                              <w:t>Receiver plasmid</w:t>
                            </w:r>
                          </w:p>
                          <w:p w14:paraId="49C42B6E" w14:textId="6FF027AA" w:rsidR="00032F4F" w:rsidRPr="00032F4F" w:rsidRDefault="00032F4F" w:rsidP="00032F4F">
                            <w:pPr>
                              <w:rPr>
                                <w:rFonts w:ascii="Arial" w:eastAsia="Calibri" w:hAnsi="Arial"/>
                                <w:color w:val="000000" w:themeColor="text1"/>
                                <w:sz w:val="21"/>
                                <w:szCs w:val="21"/>
                              </w:rPr>
                            </w:pPr>
                            <w:r w:rsidRPr="00032F4F">
                              <w:rPr>
                                <w:rFonts w:ascii="Arial" w:eastAsia="Calibri" w:hAnsi="Arial"/>
                                <w:color w:val="000000" w:themeColor="text1"/>
                                <w:sz w:val="21"/>
                                <w:szCs w:val="21"/>
                              </w:rPr>
                              <w:t xml:space="preserve">Addition of OC12 leads to expression of </w:t>
                            </w:r>
                            <w:proofErr w:type="spellStart"/>
                            <w:r w:rsidRPr="00032F4F">
                              <w:rPr>
                                <w:rFonts w:ascii="Arial" w:eastAsia="Calibri" w:hAnsi="Arial"/>
                                <w:color w:val="000000" w:themeColor="text1"/>
                                <w:sz w:val="21"/>
                                <w:szCs w:val="21"/>
                              </w:rPr>
                              <w:t>gfp</w:t>
                            </w:r>
                            <w:proofErr w:type="spellEnd"/>
                            <w:r>
                              <w:rPr>
                                <w:rFonts w:ascii="Arial" w:eastAsia="Calibri" w:hAnsi="Arial"/>
                                <w:color w:val="000000" w:themeColor="text1"/>
                                <w:sz w:val="21"/>
                                <w:szCs w:val="21"/>
                              </w:rPr>
                              <w:t>.</w:t>
                            </w:r>
                          </w:p>
                        </w:txbxContent>
                      </wps:txbx>
                      <wps:bodyPr wrap="square">
                        <a:noAutofit/>
                      </wps:bodyPr>
                    </wps:wsp>
                  </a:graphicData>
                </a:graphic>
                <wp14:sizeRelV relativeFrom="margin">
                  <wp14:pctHeight>0</wp14:pctHeight>
                </wp14:sizeRelV>
              </wp:anchor>
            </w:drawing>
          </mc:Choice>
          <mc:Fallback>
            <w:pict>
              <v:shape w14:anchorId="1DF81428" id="TextBox 8" o:spid="_x0000_s1027" type="#_x0000_t202" style="position:absolute;margin-left:273.15pt;margin-top:10.1pt;width:254.75pt;height:46.9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AY7bdwEAAOUCAAAOAAAAZHJzL2Uyb0RvYy54bWysUsFOAyEQvZv4D4S73d0aG910azRGL0ZN&#13;&#10;1A+gLHRJFgYZ2t3+vQOtrdGb8TLAzPB48x7z69H2bKMCGnANryYlZ8pJaI1bNfz97f7skjOMwrWi&#13;&#10;B6cavlXIrxenJ/PB12oKHfStCoxAHNaDb3gXo6+LAmWnrMAJeOWoqCFYEekYVkUbxEDoti+mZTkr&#13;&#10;BgitDyAVImXvdkW+yPhaKxmftUYVWd9w4hZzDDkuUywWc1GvgvCdkXsa4g8srDCOHj1A3Yko2DqY&#13;&#10;X1DWyAAIOk4k2AK0NlLlGWiaqvwxzWsnvMqzkDjoDzLh/8HKp82rfwksjrcwkoFJkMFjjZRM84w6&#13;&#10;2LQSU0Z1knB7kE2NkUlKnk/PL2ZVxZmk2sXVrKxmCaY43vYB44MCy9Km4YFsyWqJzSPGXetXS3rM&#13;&#10;wb3p+5Q/Ukm7OC5HZtpvNJfQbon9QAY2HD/WIiS9EsLNOoI2GTxd3TXuEUnLTG/vezLr+zl3HX/n&#13;&#10;4hMAAP//AwBQSwMEFAAGAAgAAAAhAPMOAKLjAAAAEAEAAA8AAABkcnMvZG93bnJldi54bWxMj09P&#13;&#10;wzAMxe9IfIfISNxY0tJO0DWdEBNXJsYfiVvWeG1F41RNtpZvP+8EF8uWn5/fr1zPrhcnHEPnSUOy&#13;&#10;UCCQam87ajR8vL/cPYAI0ZA1vSfU8IsB1tX1VWkK6yd6w9MuNoJNKBRGQxvjUEgZ6hadCQs/IPHu&#13;&#10;4EdnIo9jI+1oJjZ3vUyVWkpnOuIPrRnwucX6Z3d0Gj5fD99fmdo2G5cPk5+VJPcotb69mTcrLk8r&#13;&#10;EBHn+HcBFwbODxUH2/sj2SB6DXm2vGephlSlIC4CledMtOcuyRKQVSn/g1RnAAAA//8DAFBLAQIt&#13;&#10;ABQABgAIAAAAIQC2gziS/gAAAOEBAAATAAAAAAAAAAAAAAAAAAAAAABbQ29udGVudF9UeXBlc10u&#13;&#10;eG1sUEsBAi0AFAAGAAgAAAAhADj9If/WAAAAlAEAAAsAAAAAAAAAAAAAAAAALwEAAF9yZWxzLy5y&#13;&#10;ZWxzUEsBAi0AFAAGAAgAAAAhANMBjtt3AQAA5QIAAA4AAAAAAAAAAAAAAAAALgIAAGRycy9lMm9E&#13;&#10;b2MueG1sUEsBAi0AFAAGAAgAAAAhAPMOAKLjAAAAEAEAAA8AAAAAAAAAAAAAAAAA0QMAAGRycy9k&#13;&#10;b3ducmV2LnhtbFBLBQYAAAAABAAEAPMAAADhBAAAAAA=&#13;&#10;" filled="f" stroked="f">
                <v:textbox>
                  <w:txbxContent>
                    <w:p w14:paraId="62509DD7" w14:textId="77777777" w:rsidR="00032F4F" w:rsidRPr="00032F4F" w:rsidRDefault="00032F4F" w:rsidP="00032F4F">
                      <w:pPr>
                        <w:rPr>
                          <w:rFonts w:ascii="Arial" w:eastAsia="Calibri" w:hAnsi="Arial"/>
                          <w:b/>
                          <w:bCs/>
                          <w:color w:val="000000" w:themeColor="text1"/>
                          <w:sz w:val="21"/>
                          <w:szCs w:val="21"/>
                        </w:rPr>
                      </w:pPr>
                      <w:r w:rsidRPr="00032F4F">
                        <w:rPr>
                          <w:rFonts w:ascii="Arial" w:eastAsia="Calibri" w:hAnsi="Arial"/>
                          <w:b/>
                          <w:bCs/>
                          <w:color w:val="000000" w:themeColor="text1"/>
                          <w:sz w:val="21"/>
                          <w:szCs w:val="21"/>
                        </w:rPr>
                        <w:t>Receiver plasmid</w:t>
                      </w:r>
                    </w:p>
                    <w:p w14:paraId="49C42B6E" w14:textId="6FF027AA" w:rsidR="00032F4F" w:rsidRPr="00032F4F" w:rsidRDefault="00032F4F" w:rsidP="00032F4F">
                      <w:pPr>
                        <w:rPr>
                          <w:rFonts w:ascii="Arial" w:eastAsia="Calibri" w:hAnsi="Arial"/>
                          <w:color w:val="000000" w:themeColor="text1"/>
                          <w:sz w:val="21"/>
                          <w:szCs w:val="21"/>
                        </w:rPr>
                      </w:pPr>
                      <w:r w:rsidRPr="00032F4F">
                        <w:rPr>
                          <w:rFonts w:ascii="Arial" w:eastAsia="Calibri" w:hAnsi="Arial"/>
                          <w:color w:val="000000" w:themeColor="text1"/>
                          <w:sz w:val="21"/>
                          <w:szCs w:val="21"/>
                        </w:rPr>
                        <w:t xml:space="preserve">Addition of OC12 leads to expression of </w:t>
                      </w:r>
                      <w:proofErr w:type="spellStart"/>
                      <w:r w:rsidRPr="00032F4F">
                        <w:rPr>
                          <w:rFonts w:ascii="Arial" w:eastAsia="Calibri" w:hAnsi="Arial"/>
                          <w:color w:val="000000" w:themeColor="text1"/>
                          <w:sz w:val="21"/>
                          <w:szCs w:val="21"/>
                        </w:rPr>
                        <w:t>gfp</w:t>
                      </w:r>
                      <w:proofErr w:type="spellEnd"/>
                      <w:r>
                        <w:rPr>
                          <w:rFonts w:ascii="Arial" w:eastAsia="Calibri" w:hAnsi="Arial"/>
                          <w:color w:val="000000" w:themeColor="text1"/>
                          <w:sz w:val="21"/>
                          <w:szCs w:val="21"/>
                        </w:rPr>
                        <w:t>.</w:t>
                      </w:r>
                    </w:p>
                  </w:txbxContent>
                </v:textbox>
              </v:shape>
            </w:pict>
          </mc:Fallback>
        </mc:AlternateContent>
      </w:r>
    </w:p>
    <w:p w14:paraId="0B57A541" w14:textId="77777777" w:rsidR="00032F4F" w:rsidRDefault="00032F4F" w:rsidP="00C51F8B">
      <w:pPr>
        <w:rPr>
          <w:rFonts w:ascii="Arial" w:hAnsi="Arial" w:cs="Arial"/>
          <w:b/>
          <w:bCs/>
        </w:rPr>
      </w:pPr>
    </w:p>
    <w:p w14:paraId="48191300" w14:textId="65AB8725" w:rsidR="00C51F8B" w:rsidRPr="00570770" w:rsidRDefault="00C51F8B" w:rsidP="00C51F8B">
      <w:pPr>
        <w:rPr>
          <w:rFonts w:ascii="Arial" w:hAnsi="Arial" w:cs="Arial"/>
          <w:b/>
          <w:bCs/>
        </w:rPr>
      </w:pPr>
      <w:r w:rsidRPr="00570770">
        <w:rPr>
          <w:rFonts w:ascii="Arial" w:hAnsi="Arial" w:cs="Arial"/>
          <w:b/>
          <w:bCs/>
        </w:rPr>
        <w:t xml:space="preserve">Protocol: </w:t>
      </w:r>
    </w:p>
    <w:p w14:paraId="5AF2F452" w14:textId="5D958FDA" w:rsidR="00C51F8B" w:rsidRPr="00570770" w:rsidRDefault="00C51F8B" w:rsidP="00C51F8B">
      <w:pPr>
        <w:rPr>
          <w:rFonts w:ascii="Arial" w:hAnsi="Arial" w:cs="Arial"/>
        </w:rPr>
      </w:pPr>
    </w:p>
    <w:p w14:paraId="4B3AA821" w14:textId="559EB3F7" w:rsidR="00430D54" w:rsidRPr="00570770" w:rsidRDefault="00C51F8B" w:rsidP="00430D54">
      <w:pPr>
        <w:pStyle w:val="ListParagraph"/>
        <w:numPr>
          <w:ilvl w:val="0"/>
          <w:numId w:val="2"/>
        </w:numPr>
        <w:rPr>
          <w:rFonts w:ascii="Arial" w:hAnsi="Arial" w:cs="Arial"/>
        </w:rPr>
      </w:pPr>
      <w:r w:rsidRPr="00570770">
        <w:rPr>
          <w:rFonts w:ascii="Arial" w:hAnsi="Arial" w:cs="Arial"/>
        </w:rPr>
        <w:t>From a single colony, start two separate 5 mL cultures of receiver and sender cells in minimal media</w:t>
      </w:r>
      <w:r w:rsidR="00430D54" w:rsidRPr="00570770">
        <w:rPr>
          <w:rFonts w:ascii="Arial" w:hAnsi="Arial" w:cs="Arial"/>
        </w:rPr>
        <w:t xml:space="preserve"> with the appropriate antibiotic for plasmid selection and maintenance. Allow to grow overnight at 30</w:t>
      </w:r>
      <w:r w:rsidR="00455B15">
        <w:rPr>
          <w:rFonts w:ascii="Arial" w:hAnsi="Arial" w:cs="Arial"/>
        </w:rPr>
        <w:t xml:space="preserve"> </w:t>
      </w:r>
      <w:r w:rsidR="00455B15" w:rsidRPr="00570770">
        <w:rPr>
          <w:rFonts w:ascii="Cambria Math" w:eastAsia="Cambria Math" w:hAnsi="Cambria Math" w:cs="Cambria Math"/>
        </w:rPr>
        <w:t>℃</w:t>
      </w:r>
      <w:r w:rsidR="00430D54" w:rsidRPr="00570770">
        <w:rPr>
          <w:rFonts w:ascii="Arial" w:hAnsi="Arial" w:cs="Arial"/>
        </w:rPr>
        <w:t xml:space="preserve"> with shaking at 250 rpm</w:t>
      </w:r>
    </w:p>
    <w:p w14:paraId="5EB9F3F3" w14:textId="42C3140D" w:rsidR="00376085" w:rsidRPr="00570770" w:rsidRDefault="00376085" w:rsidP="00376085">
      <w:pPr>
        <w:pStyle w:val="ListParagraph"/>
        <w:numPr>
          <w:ilvl w:val="0"/>
          <w:numId w:val="2"/>
        </w:numPr>
        <w:rPr>
          <w:rFonts w:ascii="Arial" w:hAnsi="Arial" w:cs="Arial"/>
        </w:rPr>
      </w:pPr>
      <w:r w:rsidRPr="00570770">
        <w:rPr>
          <w:rFonts w:ascii="Arial" w:hAnsi="Arial" w:cs="Arial"/>
        </w:rPr>
        <w:t>Make 1.5% agarose plates containing the appropriate antibiotic for plasmid selection and maintenance</w:t>
      </w:r>
    </w:p>
    <w:p w14:paraId="514808E3" w14:textId="0DD19857" w:rsidR="00430D54" w:rsidRPr="00570770" w:rsidRDefault="00430D54" w:rsidP="00430D54">
      <w:pPr>
        <w:pStyle w:val="ListParagraph"/>
        <w:numPr>
          <w:ilvl w:val="0"/>
          <w:numId w:val="2"/>
        </w:numPr>
        <w:rPr>
          <w:rFonts w:ascii="Arial" w:hAnsi="Arial" w:cs="Arial"/>
        </w:rPr>
      </w:pPr>
      <w:r w:rsidRPr="00570770">
        <w:rPr>
          <w:rFonts w:ascii="Arial" w:hAnsi="Arial" w:cs="Arial"/>
        </w:rPr>
        <w:t>The next day, take a</w:t>
      </w:r>
      <w:r w:rsidR="005362D8" w:rsidRPr="00570770">
        <w:rPr>
          <w:rFonts w:ascii="Arial" w:hAnsi="Arial" w:cs="Arial"/>
        </w:rPr>
        <w:t>n absorbance measurement at a wavelength of 600 nm to confirm healthy growth and to normalize cell density across samples</w:t>
      </w:r>
      <w:r w:rsidR="00376085" w:rsidRPr="00570770">
        <w:rPr>
          <w:rFonts w:ascii="Arial" w:hAnsi="Arial" w:cs="Arial"/>
        </w:rPr>
        <w:t>.</w:t>
      </w:r>
    </w:p>
    <w:p w14:paraId="3373E63A" w14:textId="5264E285" w:rsidR="005362D8" w:rsidRPr="00570770" w:rsidRDefault="005362D8" w:rsidP="00430D54">
      <w:pPr>
        <w:pStyle w:val="ListParagraph"/>
        <w:numPr>
          <w:ilvl w:val="0"/>
          <w:numId w:val="2"/>
        </w:numPr>
        <w:rPr>
          <w:rFonts w:ascii="Arial" w:hAnsi="Arial" w:cs="Arial"/>
        </w:rPr>
      </w:pPr>
      <w:r w:rsidRPr="00570770">
        <w:rPr>
          <w:rFonts w:ascii="Arial" w:hAnsi="Arial" w:cs="Arial"/>
        </w:rPr>
        <w:t xml:space="preserve">Wash 1 mL aliquots of the receiver by pelleting at 6000 </w:t>
      </w:r>
      <w:proofErr w:type="spellStart"/>
      <w:r w:rsidRPr="00570770">
        <w:rPr>
          <w:rFonts w:ascii="Arial" w:hAnsi="Arial" w:cs="Arial"/>
        </w:rPr>
        <w:t>rcf</w:t>
      </w:r>
      <w:proofErr w:type="spellEnd"/>
      <w:r w:rsidRPr="00570770">
        <w:rPr>
          <w:rFonts w:ascii="Arial" w:hAnsi="Arial" w:cs="Arial"/>
        </w:rPr>
        <w:t xml:space="preserve"> for 5 minutes, discarding the supernatant, and resuspending the pellet with fresh minimal media. Repeat for a total of three washes.</w:t>
      </w:r>
    </w:p>
    <w:p w14:paraId="187280E4" w14:textId="64B9141D" w:rsidR="005362D8" w:rsidRPr="00570770" w:rsidRDefault="005362D8" w:rsidP="005362D8">
      <w:pPr>
        <w:pStyle w:val="ListParagraph"/>
        <w:numPr>
          <w:ilvl w:val="0"/>
          <w:numId w:val="2"/>
        </w:numPr>
        <w:rPr>
          <w:rFonts w:ascii="Arial" w:hAnsi="Arial" w:cs="Arial"/>
        </w:rPr>
      </w:pPr>
      <w:r w:rsidRPr="00570770">
        <w:rPr>
          <w:rFonts w:ascii="Arial" w:hAnsi="Arial" w:cs="Arial"/>
        </w:rPr>
        <w:t>Dilute the sender cells to an OD</w:t>
      </w:r>
      <w:r w:rsidR="00455B15">
        <w:rPr>
          <w:rFonts w:ascii="Arial" w:hAnsi="Arial" w:cs="Arial"/>
          <w:vertAlign w:val="subscript"/>
        </w:rPr>
        <w:t>600</w:t>
      </w:r>
      <w:r w:rsidRPr="00570770">
        <w:rPr>
          <w:rFonts w:ascii="Arial" w:hAnsi="Arial" w:cs="Arial"/>
        </w:rPr>
        <w:t xml:space="preserve"> of </w:t>
      </w:r>
      <w:r w:rsidR="00455B15">
        <w:rPr>
          <w:rFonts w:ascii="Arial" w:hAnsi="Arial" w:cs="Arial"/>
        </w:rPr>
        <w:t>0</w:t>
      </w:r>
      <w:r w:rsidRPr="00570770">
        <w:rPr>
          <w:rFonts w:ascii="Arial" w:hAnsi="Arial" w:cs="Arial"/>
        </w:rPr>
        <w:t xml:space="preserve">.15 in </w:t>
      </w:r>
      <w:r w:rsidR="00376085" w:rsidRPr="00570770">
        <w:rPr>
          <w:rFonts w:ascii="Arial" w:hAnsi="Arial" w:cs="Arial"/>
        </w:rPr>
        <w:t xml:space="preserve">3 mL of </w:t>
      </w:r>
      <w:r w:rsidR="00525EB8">
        <w:rPr>
          <w:rFonts w:ascii="Arial" w:hAnsi="Arial" w:cs="Arial"/>
        </w:rPr>
        <w:t>0</w:t>
      </w:r>
      <w:r w:rsidRPr="00570770">
        <w:rPr>
          <w:rFonts w:ascii="Arial" w:hAnsi="Arial" w:cs="Arial"/>
        </w:rPr>
        <w:t>.7% agarose and plate evenly onto the agarose plate.</w:t>
      </w:r>
    </w:p>
    <w:p w14:paraId="73E5AD60" w14:textId="321DCE80" w:rsidR="005362D8" w:rsidRPr="00570770" w:rsidRDefault="005362D8" w:rsidP="005362D8">
      <w:pPr>
        <w:pStyle w:val="ListParagraph"/>
        <w:numPr>
          <w:ilvl w:val="0"/>
          <w:numId w:val="2"/>
        </w:numPr>
        <w:rPr>
          <w:rFonts w:ascii="Arial" w:hAnsi="Arial" w:cs="Arial"/>
        </w:rPr>
      </w:pPr>
      <w:r w:rsidRPr="00570770">
        <w:rPr>
          <w:rFonts w:ascii="Arial" w:hAnsi="Arial" w:cs="Arial"/>
        </w:rPr>
        <w:t xml:space="preserve">For each experimental condition, </w:t>
      </w:r>
      <w:r w:rsidR="00455B15">
        <w:rPr>
          <w:rFonts w:ascii="Arial" w:hAnsi="Arial" w:cs="Arial"/>
        </w:rPr>
        <w:t>(</w:t>
      </w:r>
      <w:r w:rsidRPr="00570770">
        <w:rPr>
          <w:rFonts w:ascii="Arial" w:hAnsi="Arial" w:cs="Arial"/>
        </w:rPr>
        <w:t xml:space="preserve">in this case </w:t>
      </w:r>
      <w:r w:rsidR="00570770" w:rsidRPr="00570770">
        <w:rPr>
          <w:rFonts w:ascii="Arial" w:hAnsi="Arial" w:cs="Arial"/>
        </w:rPr>
        <w:t>uninduced</w:t>
      </w:r>
      <w:r w:rsidRPr="00570770">
        <w:rPr>
          <w:rFonts w:ascii="Arial" w:hAnsi="Arial" w:cs="Arial"/>
        </w:rPr>
        <w:t xml:space="preserve"> and induced sender cells</w:t>
      </w:r>
      <w:r w:rsidR="00455B15">
        <w:rPr>
          <w:rFonts w:ascii="Arial" w:hAnsi="Arial" w:cs="Arial"/>
        </w:rPr>
        <w:t>)</w:t>
      </w:r>
      <w:r w:rsidRPr="00570770">
        <w:rPr>
          <w:rFonts w:ascii="Arial" w:hAnsi="Arial" w:cs="Arial"/>
        </w:rPr>
        <w:t>, wash 1 mL aliquots of the sender cells at an OD</w:t>
      </w:r>
      <w:r w:rsidR="00455B15">
        <w:rPr>
          <w:rFonts w:ascii="Arial" w:hAnsi="Arial" w:cs="Arial"/>
          <w:vertAlign w:val="subscript"/>
        </w:rPr>
        <w:t>600</w:t>
      </w:r>
      <w:r w:rsidRPr="00570770">
        <w:rPr>
          <w:rFonts w:ascii="Arial" w:hAnsi="Arial" w:cs="Arial"/>
        </w:rPr>
        <w:t xml:space="preserve"> of </w:t>
      </w:r>
      <w:r w:rsidR="00455B15">
        <w:rPr>
          <w:rFonts w:ascii="Arial" w:hAnsi="Arial" w:cs="Arial"/>
        </w:rPr>
        <w:t>0</w:t>
      </w:r>
      <w:r w:rsidRPr="00570770">
        <w:rPr>
          <w:rFonts w:ascii="Arial" w:hAnsi="Arial" w:cs="Arial"/>
        </w:rPr>
        <w:t xml:space="preserve">.3 by pelleting at 6000 </w:t>
      </w:r>
      <w:proofErr w:type="spellStart"/>
      <w:r w:rsidRPr="00570770">
        <w:rPr>
          <w:rFonts w:ascii="Arial" w:hAnsi="Arial" w:cs="Arial"/>
        </w:rPr>
        <w:t>rcf</w:t>
      </w:r>
      <w:proofErr w:type="spellEnd"/>
      <w:r w:rsidRPr="00570770">
        <w:rPr>
          <w:rFonts w:ascii="Arial" w:hAnsi="Arial" w:cs="Arial"/>
        </w:rPr>
        <w:t xml:space="preserve"> for 5 minutes, discarding the supernatant, and resuspending the pellet with fresh minimal media. Repeat for a total of three washes.</w:t>
      </w:r>
    </w:p>
    <w:p w14:paraId="741F6800" w14:textId="05A62C4D" w:rsidR="005362D8" w:rsidRPr="00570770" w:rsidRDefault="005362D8" w:rsidP="005362D8">
      <w:pPr>
        <w:pStyle w:val="ListParagraph"/>
        <w:numPr>
          <w:ilvl w:val="0"/>
          <w:numId w:val="2"/>
        </w:numPr>
        <w:rPr>
          <w:rFonts w:ascii="Arial" w:hAnsi="Arial" w:cs="Arial"/>
        </w:rPr>
      </w:pPr>
      <w:r w:rsidRPr="00570770">
        <w:rPr>
          <w:rFonts w:ascii="Arial" w:hAnsi="Arial" w:cs="Arial"/>
        </w:rPr>
        <w:t>After the final wash, resuspend the</w:t>
      </w:r>
      <w:r w:rsidR="00376085" w:rsidRPr="00570770">
        <w:rPr>
          <w:rFonts w:ascii="Arial" w:hAnsi="Arial" w:cs="Arial"/>
        </w:rPr>
        <w:t xml:space="preserve"> sender</w:t>
      </w:r>
      <w:r w:rsidRPr="00570770">
        <w:rPr>
          <w:rFonts w:ascii="Arial" w:hAnsi="Arial" w:cs="Arial"/>
        </w:rPr>
        <w:t xml:space="preserve"> cell pellet in 20 </w:t>
      </w:r>
      <w:r w:rsidR="00455B15">
        <w:rPr>
          <w:rFonts w:ascii="Arial" w:hAnsi="Arial" w:cs="Arial"/>
        </w:rPr>
        <w:t>µ</w:t>
      </w:r>
      <w:r w:rsidRPr="00570770">
        <w:rPr>
          <w:rFonts w:ascii="Arial" w:hAnsi="Arial" w:cs="Arial"/>
        </w:rPr>
        <w:t>L of minimal media containing the appropriate antibiotic and</w:t>
      </w:r>
      <w:r w:rsidR="00376085" w:rsidRPr="00570770">
        <w:rPr>
          <w:rFonts w:ascii="Arial" w:hAnsi="Arial" w:cs="Arial"/>
        </w:rPr>
        <w:t xml:space="preserve"> variable</w:t>
      </w:r>
      <w:r w:rsidRPr="00570770">
        <w:rPr>
          <w:rFonts w:ascii="Arial" w:hAnsi="Arial" w:cs="Arial"/>
        </w:rPr>
        <w:t xml:space="preserve"> concentration of IPTG (inducer) at either 0 mM </w:t>
      </w:r>
      <w:r w:rsidR="00376085" w:rsidRPr="00570770">
        <w:rPr>
          <w:rFonts w:ascii="Arial" w:hAnsi="Arial" w:cs="Arial"/>
        </w:rPr>
        <w:t xml:space="preserve">or 1 </w:t>
      </w:r>
      <w:proofErr w:type="spellStart"/>
      <w:r w:rsidR="00376085" w:rsidRPr="00570770">
        <w:rPr>
          <w:rFonts w:ascii="Arial" w:hAnsi="Arial" w:cs="Arial"/>
        </w:rPr>
        <w:t>mM.</w:t>
      </w:r>
      <w:proofErr w:type="spellEnd"/>
    </w:p>
    <w:p w14:paraId="2AB3BB22" w14:textId="48906779" w:rsidR="00376085" w:rsidRPr="00570770" w:rsidRDefault="00376085" w:rsidP="005362D8">
      <w:pPr>
        <w:pStyle w:val="ListParagraph"/>
        <w:numPr>
          <w:ilvl w:val="0"/>
          <w:numId w:val="2"/>
        </w:numPr>
        <w:rPr>
          <w:rFonts w:ascii="Arial" w:hAnsi="Arial" w:cs="Arial"/>
        </w:rPr>
      </w:pPr>
      <w:r w:rsidRPr="00570770">
        <w:rPr>
          <w:rFonts w:ascii="Arial" w:hAnsi="Arial" w:cs="Arial"/>
        </w:rPr>
        <w:t>Pipette the concentrated cells onto a 5 mm dis</w:t>
      </w:r>
      <w:r w:rsidR="00255F59">
        <w:rPr>
          <w:rFonts w:ascii="Arial" w:hAnsi="Arial" w:cs="Arial"/>
        </w:rPr>
        <w:t>k</w:t>
      </w:r>
      <w:r w:rsidRPr="00570770">
        <w:rPr>
          <w:rFonts w:ascii="Arial" w:hAnsi="Arial" w:cs="Arial"/>
        </w:rPr>
        <w:t xml:space="preserve"> of filter paper and place the disc onto the receiver cell lawn on the agarose plate.</w:t>
      </w:r>
    </w:p>
    <w:p w14:paraId="46BA0853" w14:textId="52FE3494" w:rsidR="00376085" w:rsidRPr="00570770" w:rsidRDefault="00376085" w:rsidP="005362D8">
      <w:pPr>
        <w:pStyle w:val="ListParagraph"/>
        <w:numPr>
          <w:ilvl w:val="0"/>
          <w:numId w:val="2"/>
        </w:numPr>
        <w:rPr>
          <w:rFonts w:ascii="Arial" w:hAnsi="Arial" w:cs="Arial"/>
        </w:rPr>
      </w:pPr>
      <w:r w:rsidRPr="00570770">
        <w:rPr>
          <w:rFonts w:ascii="Arial" w:hAnsi="Arial" w:cs="Arial"/>
        </w:rPr>
        <w:t xml:space="preserve">Incubate overnight at </w:t>
      </w:r>
      <w:r w:rsidR="00455B15" w:rsidRPr="00570770">
        <w:rPr>
          <w:rFonts w:ascii="Arial" w:hAnsi="Arial" w:cs="Arial"/>
        </w:rPr>
        <w:t>30</w:t>
      </w:r>
      <w:r w:rsidR="00455B15">
        <w:rPr>
          <w:rFonts w:ascii="Arial" w:hAnsi="Arial" w:cs="Arial"/>
        </w:rPr>
        <w:t xml:space="preserve"> </w:t>
      </w:r>
      <w:r w:rsidR="00455B15" w:rsidRPr="00F81484">
        <w:rPr>
          <w:rFonts w:ascii="Cambria Math" w:eastAsia="Cambria Math" w:hAnsi="Cambria Math" w:cs="Cambria Math"/>
        </w:rPr>
        <w:t>℃</w:t>
      </w:r>
      <w:r w:rsidRPr="00570770">
        <w:rPr>
          <w:rFonts w:ascii="Arial" w:hAnsi="Arial" w:cs="Arial"/>
        </w:rPr>
        <w:t>.</w:t>
      </w:r>
    </w:p>
    <w:p w14:paraId="57CCC718" w14:textId="045D07B6" w:rsidR="00032F4F" w:rsidRDefault="00376085" w:rsidP="00032F4F">
      <w:pPr>
        <w:pStyle w:val="ListParagraph"/>
        <w:numPr>
          <w:ilvl w:val="0"/>
          <w:numId w:val="2"/>
        </w:numPr>
        <w:rPr>
          <w:rFonts w:ascii="Arial" w:hAnsi="Arial" w:cs="Arial"/>
        </w:rPr>
      </w:pPr>
      <w:r w:rsidRPr="00570770">
        <w:rPr>
          <w:rFonts w:ascii="Arial" w:hAnsi="Arial" w:cs="Arial"/>
        </w:rPr>
        <w:t>To visualize fluorescence, place the agarose plates onto a UV transilluminator and image.</w:t>
      </w:r>
    </w:p>
    <w:p w14:paraId="7FFD7C59" w14:textId="4AD06265" w:rsidR="00032F4F" w:rsidRDefault="00032F4F" w:rsidP="00032F4F">
      <w:pPr>
        <w:rPr>
          <w:rFonts w:ascii="Arial" w:hAnsi="Arial" w:cs="Arial"/>
        </w:rPr>
      </w:pPr>
    </w:p>
    <w:p w14:paraId="5E4116DC" w14:textId="77777777" w:rsidR="00032F4F" w:rsidRPr="00032F4F" w:rsidRDefault="00032F4F" w:rsidP="00032F4F">
      <w:pPr>
        <w:rPr>
          <w:rFonts w:ascii="Arial" w:hAnsi="Arial" w:cs="Arial"/>
        </w:rPr>
      </w:pPr>
      <w:r w:rsidRPr="00032F4F">
        <w:rPr>
          <w:rFonts w:ascii="Arial" w:hAnsi="Arial" w:cs="Arial"/>
          <w:b/>
          <w:bCs/>
        </w:rPr>
        <w:t xml:space="preserve">Materials used in protocol: </w:t>
      </w:r>
    </w:p>
    <w:p w14:paraId="1F180E57" w14:textId="66AD3BE6" w:rsidR="00032F4F" w:rsidRDefault="00032F4F" w:rsidP="00032F4F">
      <w:pPr>
        <w:pStyle w:val="ListParagraph"/>
        <w:numPr>
          <w:ilvl w:val="0"/>
          <w:numId w:val="7"/>
        </w:numPr>
        <w:rPr>
          <w:rFonts w:ascii="Arial" w:hAnsi="Arial" w:cs="Arial"/>
        </w:rPr>
      </w:pPr>
      <w:r w:rsidRPr="00032F4F">
        <w:rPr>
          <w:rFonts w:ascii="Arial" w:hAnsi="Arial" w:cs="Arial"/>
        </w:rPr>
        <w:t xml:space="preserve">Shewanella Basal Media + 0.05% </w:t>
      </w:r>
      <w:proofErr w:type="spellStart"/>
      <w:r w:rsidRPr="00032F4F">
        <w:rPr>
          <w:rFonts w:ascii="Arial" w:hAnsi="Arial" w:cs="Arial"/>
        </w:rPr>
        <w:t>cas</w:t>
      </w:r>
      <w:proofErr w:type="spellEnd"/>
      <w:r w:rsidRPr="00032F4F">
        <w:rPr>
          <w:rFonts w:ascii="Arial" w:hAnsi="Arial" w:cs="Arial"/>
        </w:rPr>
        <w:t xml:space="preserve"> amino acids (pH 7.2)</w:t>
      </w:r>
    </w:p>
    <w:p w14:paraId="77255463" w14:textId="77777777" w:rsidR="00032F4F" w:rsidRDefault="00032F4F" w:rsidP="00032F4F">
      <w:pPr>
        <w:pStyle w:val="ListParagraph"/>
        <w:numPr>
          <w:ilvl w:val="0"/>
          <w:numId w:val="7"/>
        </w:numPr>
        <w:rPr>
          <w:rFonts w:ascii="Arial" w:hAnsi="Arial" w:cs="Arial"/>
        </w:rPr>
      </w:pPr>
      <w:r w:rsidRPr="00032F4F">
        <w:rPr>
          <w:rFonts w:ascii="Arial" w:hAnsi="Arial" w:cs="Arial"/>
        </w:rPr>
        <w:t>60% lactate (filter sterilized)</w:t>
      </w:r>
    </w:p>
    <w:p w14:paraId="1BF5426B" w14:textId="77777777" w:rsidR="00032F4F" w:rsidRDefault="00032F4F" w:rsidP="00032F4F">
      <w:pPr>
        <w:pStyle w:val="ListParagraph"/>
        <w:numPr>
          <w:ilvl w:val="0"/>
          <w:numId w:val="7"/>
        </w:numPr>
        <w:rPr>
          <w:rFonts w:ascii="Arial" w:hAnsi="Arial" w:cs="Arial"/>
        </w:rPr>
      </w:pPr>
      <w:r w:rsidRPr="00032F4F">
        <w:rPr>
          <w:rFonts w:ascii="Arial" w:hAnsi="Arial" w:cs="Arial"/>
        </w:rPr>
        <w:t xml:space="preserve">1 M fumarate (filter sterilized) </w:t>
      </w:r>
    </w:p>
    <w:p w14:paraId="0ECC4637" w14:textId="77777777" w:rsidR="00032F4F" w:rsidRDefault="00032F4F" w:rsidP="00032F4F">
      <w:pPr>
        <w:pStyle w:val="ListParagraph"/>
        <w:numPr>
          <w:ilvl w:val="0"/>
          <w:numId w:val="7"/>
        </w:numPr>
        <w:rPr>
          <w:rFonts w:ascii="Arial" w:hAnsi="Arial" w:cs="Arial"/>
        </w:rPr>
      </w:pPr>
      <w:r w:rsidRPr="00032F4F">
        <w:rPr>
          <w:rFonts w:ascii="Arial" w:hAnsi="Arial" w:cs="Arial"/>
        </w:rPr>
        <w:t xml:space="preserve">25 mg/mL kanamycin in sterile </w:t>
      </w:r>
      <w:proofErr w:type="spellStart"/>
      <w:r w:rsidRPr="00032F4F">
        <w:rPr>
          <w:rFonts w:ascii="Arial" w:hAnsi="Arial" w:cs="Arial"/>
        </w:rPr>
        <w:t>milliQ</w:t>
      </w:r>
      <w:proofErr w:type="spellEnd"/>
      <w:r w:rsidRPr="00032F4F">
        <w:rPr>
          <w:rFonts w:ascii="Arial" w:hAnsi="Arial" w:cs="Arial"/>
        </w:rPr>
        <w:t xml:space="preserve"> water</w:t>
      </w:r>
    </w:p>
    <w:p w14:paraId="647C7EDA" w14:textId="77777777" w:rsidR="00032F4F" w:rsidRDefault="00032F4F" w:rsidP="00032F4F">
      <w:pPr>
        <w:pStyle w:val="ListParagraph"/>
        <w:numPr>
          <w:ilvl w:val="0"/>
          <w:numId w:val="7"/>
        </w:numPr>
        <w:rPr>
          <w:rFonts w:ascii="Arial" w:hAnsi="Arial" w:cs="Arial"/>
        </w:rPr>
      </w:pPr>
      <w:r w:rsidRPr="00032F4F">
        <w:rPr>
          <w:rFonts w:ascii="Arial" w:hAnsi="Arial" w:cs="Arial"/>
        </w:rPr>
        <w:t>Agarose</w:t>
      </w:r>
    </w:p>
    <w:p w14:paraId="78E799BA" w14:textId="77777777" w:rsidR="00032F4F" w:rsidRDefault="00032F4F" w:rsidP="00032F4F">
      <w:pPr>
        <w:pStyle w:val="ListParagraph"/>
        <w:numPr>
          <w:ilvl w:val="0"/>
          <w:numId w:val="7"/>
        </w:numPr>
        <w:rPr>
          <w:rFonts w:ascii="Arial" w:hAnsi="Arial" w:cs="Arial"/>
        </w:rPr>
      </w:pPr>
      <w:r w:rsidRPr="00032F4F">
        <w:rPr>
          <w:rFonts w:ascii="Arial" w:hAnsi="Arial" w:cs="Arial"/>
        </w:rPr>
        <w:t>100 mL beaker</w:t>
      </w:r>
    </w:p>
    <w:p w14:paraId="63C75C23" w14:textId="77777777" w:rsidR="00032F4F" w:rsidRDefault="00032F4F" w:rsidP="00032F4F">
      <w:pPr>
        <w:pStyle w:val="ListParagraph"/>
        <w:numPr>
          <w:ilvl w:val="0"/>
          <w:numId w:val="7"/>
        </w:numPr>
        <w:rPr>
          <w:rFonts w:ascii="Arial" w:hAnsi="Arial" w:cs="Arial"/>
        </w:rPr>
      </w:pPr>
      <w:r w:rsidRPr="00032F4F">
        <w:rPr>
          <w:rFonts w:ascii="Arial" w:hAnsi="Arial" w:cs="Arial"/>
        </w:rPr>
        <w:t xml:space="preserve">Hot plate </w:t>
      </w:r>
    </w:p>
    <w:p w14:paraId="5FB62D31" w14:textId="77777777" w:rsidR="00032F4F" w:rsidRDefault="00032F4F" w:rsidP="00032F4F">
      <w:pPr>
        <w:pStyle w:val="ListParagraph"/>
        <w:numPr>
          <w:ilvl w:val="0"/>
          <w:numId w:val="7"/>
        </w:numPr>
        <w:rPr>
          <w:rFonts w:ascii="Arial" w:hAnsi="Arial" w:cs="Arial"/>
        </w:rPr>
      </w:pPr>
      <w:r w:rsidRPr="00032F4F">
        <w:rPr>
          <w:rFonts w:ascii="Arial" w:hAnsi="Arial" w:cs="Arial"/>
        </w:rPr>
        <w:t>Stir bar</w:t>
      </w:r>
    </w:p>
    <w:p w14:paraId="696B025E" w14:textId="77777777" w:rsidR="00032F4F" w:rsidRDefault="00032F4F" w:rsidP="00032F4F">
      <w:pPr>
        <w:pStyle w:val="ListParagraph"/>
        <w:numPr>
          <w:ilvl w:val="0"/>
          <w:numId w:val="7"/>
        </w:numPr>
        <w:rPr>
          <w:rFonts w:ascii="Arial" w:hAnsi="Arial" w:cs="Arial"/>
        </w:rPr>
      </w:pPr>
      <w:r w:rsidRPr="00032F4F">
        <w:rPr>
          <w:rFonts w:ascii="Arial" w:hAnsi="Arial" w:cs="Arial"/>
        </w:rPr>
        <w:t>1 M IPTG in sterile water</w:t>
      </w:r>
    </w:p>
    <w:p w14:paraId="642A64A2" w14:textId="77777777" w:rsidR="00032F4F" w:rsidRDefault="00032F4F" w:rsidP="00032F4F">
      <w:pPr>
        <w:pStyle w:val="ListParagraph"/>
        <w:numPr>
          <w:ilvl w:val="0"/>
          <w:numId w:val="7"/>
        </w:numPr>
        <w:rPr>
          <w:rFonts w:ascii="Arial" w:hAnsi="Arial" w:cs="Arial"/>
        </w:rPr>
      </w:pPr>
      <w:r w:rsidRPr="00032F4F">
        <w:rPr>
          <w:rFonts w:ascii="Arial" w:hAnsi="Arial" w:cs="Arial"/>
        </w:rPr>
        <w:t>Filter paper</w:t>
      </w:r>
    </w:p>
    <w:p w14:paraId="46836C9E" w14:textId="77777777" w:rsidR="00032F4F" w:rsidRDefault="00032F4F" w:rsidP="00032F4F">
      <w:pPr>
        <w:pStyle w:val="ListParagraph"/>
        <w:numPr>
          <w:ilvl w:val="0"/>
          <w:numId w:val="7"/>
        </w:numPr>
        <w:rPr>
          <w:rFonts w:ascii="Arial" w:hAnsi="Arial" w:cs="Arial"/>
        </w:rPr>
      </w:pPr>
      <w:r w:rsidRPr="00032F4F">
        <w:rPr>
          <w:rFonts w:ascii="Arial" w:hAnsi="Arial" w:cs="Arial"/>
        </w:rPr>
        <w:t>Hole punch</w:t>
      </w:r>
    </w:p>
    <w:p w14:paraId="082438C5" w14:textId="116ABA8D" w:rsidR="00032F4F" w:rsidRPr="00032F4F" w:rsidRDefault="00032F4F" w:rsidP="00032F4F">
      <w:pPr>
        <w:pStyle w:val="ListParagraph"/>
        <w:numPr>
          <w:ilvl w:val="0"/>
          <w:numId w:val="7"/>
        </w:numPr>
        <w:rPr>
          <w:rFonts w:ascii="Arial" w:hAnsi="Arial" w:cs="Arial"/>
        </w:rPr>
      </w:pPr>
      <w:r w:rsidRPr="00032F4F">
        <w:rPr>
          <w:rFonts w:ascii="Arial" w:hAnsi="Arial" w:cs="Arial"/>
        </w:rPr>
        <w:t>Plate reader for OD600 and fluorescence measurements</w:t>
      </w:r>
    </w:p>
    <w:p w14:paraId="5C1A03C7" w14:textId="77777777" w:rsidR="00032F4F" w:rsidRDefault="00032F4F" w:rsidP="00032F4F">
      <w:pPr>
        <w:rPr>
          <w:rFonts w:ascii="Arial" w:hAnsi="Arial" w:cs="Arial"/>
          <w:b/>
          <w:bCs/>
        </w:rPr>
      </w:pPr>
    </w:p>
    <w:p w14:paraId="70A2A1D3" w14:textId="3AEAC87C" w:rsidR="00032F4F" w:rsidRPr="00032F4F" w:rsidRDefault="00032F4F" w:rsidP="00032F4F">
      <w:pPr>
        <w:rPr>
          <w:rFonts w:ascii="Arial" w:hAnsi="Arial" w:cs="Arial"/>
        </w:rPr>
      </w:pPr>
      <w:r w:rsidRPr="00032F4F">
        <w:rPr>
          <w:rFonts w:ascii="Arial" w:hAnsi="Arial" w:cs="Arial"/>
          <w:b/>
          <w:bCs/>
        </w:rPr>
        <w:t xml:space="preserve">Available materials for further experiments: </w:t>
      </w:r>
    </w:p>
    <w:p w14:paraId="17798E4E" w14:textId="77777777" w:rsidR="00032F4F" w:rsidRDefault="00032F4F" w:rsidP="00032F4F">
      <w:pPr>
        <w:pStyle w:val="ListParagraph"/>
        <w:numPr>
          <w:ilvl w:val="0"/>
          <w:numId w:val="8"/>
        </w:numPr>
        <w:rPr>
          <w:rFonts w:ascii="Arial" w:hAnsi="Arial" w:cs="Arial"/>
        </w:rPr>
      </w:pPr>
      <w:r w:rsidRPr="00032F4F">
        <w:rPr>
          <w:rFonts w:ascii="Arial" w:hAnsi="Arial" w:cs="Arial"/>
        </w:rPr>
        <w:t>Purified OC12 in DMF (OC12 is the autoinducer produced by the sender cells, it should induce fluorescence in the receiver cells)</w:t>
      </w:r>
    </w:p>
    <w:p w14:paraId="64F57901" w14:textId="77777777" w:rsidR="00032F4F" w:rsidRDefault="00032F4F" w:rsidP="00032F4F">
      <w:pPr>
        <w:pStyle w:val="ListParagraph"/>
        <w:numPr>
          <w:ilvl w:val="0"/>
          <w:numId w:val="8"/>
        </w:numPr>
        <w:rPr>
          <w:rFonts w:ascii="Arial" w:hAnsi="Arial" w:cs="Arial"/>
        </w:rPr>
      </w:pPr>
      <w:r w:rsidRPr="00032F4F">
        <w:rPr>
          <w:rFonts w:ascii="Arial" w:hAnsi="Arial" w:cs="Arial"/>
        </w:rPr>
        <w:t xml:space="preserve">Nickel resin column and buffers for </w:t>
      </w:r>
      <w:proofErr w:type="spellStart"/>
      <w:r w:rsidRPr="00032F4F">
        <w:rPr>
          <w:rFonts w:ascii="Arial" w:hAnsi="Arial" w:cs="Arial"/>
        </w:rPr>
        <w:t>HisTag</w:t>
      </w:r>
      <w:proofErr w:type="spellEnd"/>
      <w:r w:rsidRPr="00032F4F">
        <w:rPr>
          <w:rFonts w:ascii="Arial" w:hAnsi="Arial" w:cs="Arial"/>
        </w:rPr>
        <w:t xml:space="preserve"> purification</w:t>
      </w:r>
    </w:p>
    <w:p w14:paraId="7D8795F9" w14:textId="0FC07281" w:rsidR="00032F4F" w:rsidRPr="00032F4F" w:rsidRDefault="00032F4F" w:rsidP="00032F4F">
      <w:pPr>
        <w:pStyle w:val="ListParagraph"/>
        <w:numPr>
          <w:ilvl w:val="0"/>
          <w:numId w:val="8"/>
        </w:numPr>
        <w:rPr>
          <w:rFonts w:ascii="Arial" w:hAnsi="Arial" w:cs="Arial"/>
        </w:rPr>
      </w:pPr>
      <w:r w:rsidRPr="00032F4F">
        <w:rPr>
          <w:rFonts w:ascii="Arial" w:hAnsi="Arial" w:cs="Arial"/>
        </w:rPr>
        <w:lastRenderedPageBreak/>
        <w:t>Sequence alignment tools and plasmid maps</w:t>
      </w:r>
    </w:p>
    <w:p w14:paraId="375BA4C5" w14:textId="77777777" w:rsidR="00032F4F" w:rsidRPr="00032F4F" w:rsidRDefault="00032F4F" w:rsidP="00032F4F">
      <w:pPr>
        <w:rPr>
          <w:rFonts w:ascii="Arial" w:hAnsi="Arial" w:cs="Arial"/>
        </w:rPr>
      </w:pPr>
    </w:p>
    <w:p w14:paraId="4D9BD859" w14:textId="77777777" w:rsidR="009A1A78" w:rsidRPr="00570770" w:rsidRDefault="009A1A78" w:rsidP="009A1A78">
      <w:pPr>
        <w:rPr>
          <w:rFonts w:ascii="Arial" w:hAnsi="Arial" w:cs="Arial"/>
        </w:rPr>
      </w:pPr>
    </w:p>
    <w:p w14:paraId="401C1602" w14:textId="1A3D10A5" w:rsidR="009A1A78" w:rsidRPr="00570770" w:rsidRDefault="00C837C2" w:rsidP="009A1A78">
      <w:pPr>
        <w:rPr>
          <w:rFonts w:ascii="Arial" w:hAnsi="Arial" w:cs="Arial"/>
          <w:b/>
          <w:bCs/>
        </w:rPr>
      </w:pPr>
      <w:r w:rsidRPr="00C837C2">
        <w:rPr>
          <w:rFonts w:ascii="Arial" w:hAnsi="Arial" w:cs="Arial"/>
          <w:noProof/>
        </w:rPr>
        <w:drawing>
          <wp:anchor distT="0" distB="0" distL="114300" distR="114300" simplePos="0" relativeHeight="251659264" behindDoc="1" locked="0" layoutInCell="1" allowOverlap="1" wp14:anchorId="1811287F" wp14:editId="20A07B18">
            <wp:simplePos x="0" y="0"/>
            <wp:positionH relativeFrom="column">
              <wp:posOffset>427290</wp:posOffset>
            </wp:positionH>
            <wp:positionV relativeFrom="paragraph">
              <wp:posOffset>182394</wp:posOffset>
            </wp:positionV>
            <wp:extent cx="1307465" cy="1270000"/>
            <wp:effectExtent l="0" t="0" r="635" b="0"/>
            <wp:wrapTight wrapText="bothSides">
              <wp:wrapPolygon edited="0">
                <wp:start x="0" y="0"/>
                <wp:lineTo x="0" y="21384"/>
                <wp:lineTo x="21401" y="21384"/>
                <wp:lineTo x="21401" y="0"/>
                <wp:lineTo x="0" y="0"/>
              </wp:wrapPolygon>
            </wp:wrapTight>
            <wp:docPr id="202918202" name="Picture 1" descr="A green circle with a whit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18202" name="Picture 1" descr="A green circle with a white circle&#10;&#10;Description automatically generated"/>
                    <pic:cNvPicPr/>
                  </pic:nvPicPr>
                  <pic:blipFill rotWithShape="1">
                    <a:blip r:embed="rId7" cstate="print">
                      <a:extLst>
                        <a:ext uri="{28A0092B-C50C-407E-A947-70E740481C1C}">
                          <a14:useLocalDpi xmlns:a14="http://schemas.microsoft.com/office/drawing/2010/main" val="0"/>
                        </a:ext>
                      </a:extLst>
                    </a:blip>
                    <a:srcRect l="11585" r="4356"/>
                    <a:stretch/>
                  </pic:blipFill>
                  <pic:spPr bwMode="auto">
                    <a:xfrm>
                      <a:off x="0" y="0"/>
                      <a:ext cx="1307465" cy="127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A1A78" w:rsidRPr="00570770">
        <w:rPr>
          <w:rFonts w:ascii="Arial" w:hAnsi="Arial" w:cs="Arial"/>
          <w:b/>
          <w:bCs/>
        </w:rPr>
        <w:t xml:space="preserve">Results: </w:t>
      </w:r>
    </w:p>
    <w:p w14:paraId="781F3555" w14:textId="3D9513A1" w:rsidR="00376085" w:rsidRPr="00570770" w:rsidRDefault="00C837C2" w:rsidP="00376085">
      <w:pPr>
        <w:rPr>
          <w:rFonts w:ascii="Arial" w:hAnsi="Arial" w:cs="Arial"/>
        </w:rPr>
      </w:pPr>
      <w:r w:rsidRPr="00C837C2">
        <w:rPr>
          <w:rFonts w:ascii="Arial" w:hAnsi="Arial" w:cs="Arial"/>
          <w:noProof/>
        </w:rPr>
        <w:drawing>
          <wp:anchor distT="0" distB="0" distL="114300" distR="114300" simplePos="0" relativeHeight="251662336" behindDoc="1" locked="0" layoutInCell="1" allowOverlap="1" wp14:anchorId="775B1BEB" wp14:editId="3CC0ABAE">
            <wp:simplePos x="0" y="0"/>
            <wp:positionH relativeFrom="column">
              <wp:posOffset>4049205</wp:posOffset>
            </wp:positionH>
            <wp:positionV relativeFrom="paragraph">
              <wp:posOffset>79221</wp:posOffset>
            </wp:positionV>
            <wp:extent cx="1127760" cy="1184910"/>
            <wp:effectExtent l="0" t="0" r="2540" b="0"/>
            <wp:wrapTight wrapText="bothSides">
              <wp:wrapPolygon edited="0">
                <wp:start x="0" y="0"/>
                <wp:lineTo x="0" y="21299"/>
                <wp:lineTo x="21405" y="21299"/>
                <wp:lineTo x="21405" y="0"/>
                <wp:lineTo x="0" y="0"/>
              </wp:wrapPolygon>
            </wp:wrapTight>
            <wp:docPr id="1307622507" name="Picture 1307622507" descr="A collage of different objects&#10;&#10;Description automatically generated">
              <a:extLst xmlns:a="http://schemas.openxmlformats.org/drawingml/2006/main">
                <a:ext uri="{FF2B5EF4-FFF2-40B4-BE49-F238E27FC236}">
                  <a16:creationId xmlns:a16="http://schemas.microsoft.com/office/drawing/2014/main" id="{F82673DA-F933-AD4E-9D3A-A035B40D103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collage of different objects&#10;&#10;Description automatically generated">
                      <a:extLst>
                        <a:ext uri="{FF2B5EF4-FFF2-40B4-BE49-F238E27FC236}">
                          <a16:creationId xmlns:a16="http://schemas.microsoft.com/office/drawing/2014/main" id="{F82673DA-F933-AD4E-9D3A-A035B40D103C}"/>
                        </a:ext>
                      </a:extLst>
                    </pic:cNvPr>
                    <pic:cNvPicPr>
                      <a:picLocks noChangeAspect="1"/>
                    </pic:cNvPicPr>
                  </pic:nvPicPr>
                  <pic:blipFill rotWithShape="1">
                    <a:blip r:embed="rId8">
                      <a:extLst>
                        <a:ext uri="{28A0092B-C50C-407E-A947-70E740481C1C}">
                          <a14:useLocalDpi xmlns:a14="http://schemas.microsoft.com/office/drawing/2010/main" val="0"/>
                        </a:ext>
                      </a:extLst>
                    </a:blip>
                    <a:srcRect l="30767" t="4529" r="47463" b="73346"/>
                    <a:stretch/>
                  </pic:blipFill>
                  <pic:spPr>
                    <a:xfrm>
                      <a:off x="0" y="0"/>
                      <a:ext cx="1127760" cy="1184910"/>
                    </a:xfrm>
                    <a:prstGeom prst="rect">
                      <a:avLst/>
                    </a:prstGeom>
                  </pic:spPr>
                </pic:pic>
              </a:graphicData>
            </a:graphic>
            <wp14:sizeRelH relativeFrom="page">
              <wp14:pctWidth>0</wp14:pctWidth>
            </wp14:sizeRelH>
            <wp14:sizeRelV relativeFrom="page">
              <wp14:pctHeight>0</wp14:pctHeight>
            </wp14:sizeRelV>
          </wp:anchor>
        </w:drawing>
      </w:r>
      <w:r w:rsidRPr="00C837C2">
        <w:rPr>
          <w:rFonts w:ascii="Arial" w:hAnsi="Arial" w:cs="Arial"/>
          <w:noProof/>
        </w:rPr>
        <w:drawing>
          <wp:anchor distT="0" distB="0" distL="114300" distR="114300" simplePos="0" relativeHeight="251660288" behindDoc="1" locked="0" layoutInCell="1" allowOverlap="1" wp14:anchorId="00F74F60" wp14:editId="479F13A0">
            <wp:simplePos x="0" y="0"/>
            <wp:positionH relativeFrom="column">
              <wp:posOffset>2821038</wp:posOffset>
            </wp:positionH>
            <wp:positionV relativeFrom="paragraph">
              <wp:posOffset>84354</wp:posOffset>
            </wp:positionV>
            <wp:extent cx="1127760" cy="1184910"/>
            <wp:effectExtent l="0" t="0" r="2540" b="0"/>
            <wp:wrapTight wrapText="bothSides">
              <wp:wrapPolygon edited="0">
                <wp:start x="0" y="0"/>
                <wp:lineTo x="0" y="21299"/>
                <wp:lineTo x="21405" y="21299"/>
                <wp:lineTo x="21405" y="0"/>
                <wp:lineTo x="0" y="0"/>
              </wp:wrapPolygon>
            </wp:wrapTight>
            <wp:docPr id="3" name="Picture 2" descr="A collage of different objects&#10;&#10;Description automatically generated">
              <a:extLst xmlns:a="http://schemas.openxmlformats.org/drawingml/2006/main">
                <a:ext uri="{FF2B5EF4-FFF2-40B4-BE49-F238E27FC236}">
                  <a16:creationId xmlns:a16="http://schemas.microsoft.com/office/drawing/2014/main" id="{F82673DA-F933-AD4E-9D3A-A035B40D103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collage of different objects&#10;&#10;Description automatically generated">
                      <a:extLst>
                        <a:ext uri="{FF2B5EF4-FFF2-40B4-BE49-F238E27FC236}">
                          <a16:creationId xmlns:a16="http://schemas.microsoft.com/office/drawing/2014/main" id="{F82673DA-F933-AD4E-9D3A-A035B40D103C}"/>
                        </a:ext>
                      </a:extLst>
                    </pic:cNvPr>
                    <pic:cNvPicPr>
                      <a:picLocks noChangeAspect="1"/>
                    </pic:cNvPicPr>
                  </pic:nvPicPr>
                  <pic:blipFill rotWithShape="1">
                    <a:blip r:embed="rId8">
                      <a:extLst>
                        <a:ext uri="{28A0092B-C50C-407E-A947-70E740481C1C}">
                          <a14:useLocalDpi xmlns:a14="http://schemas.microsoft.com/office/drawing/2010/main" val="0"/>
                        </a:ext>
                      </a:extLst>
                    </a:blip>
                    <a:srcRect l="30767" t="4529" r="47463" b="73346"/>
                    <a:stretch/>
                  </pic:blipFill>
                  <pic:spPr>
                    <a:xfrm>
                      <a:off x="0" y="0"/>
                      <a:ext cx="1127760" cy="1184910"/>
                    </a:xfrm>
                    <a:prstGeom prst="rect">
                      <a:avLst/>
                    </a:prstGeom>
                  </pic:spPr>
                </pic:pic>
              </a:graphicData>
            </a:graphic>
            <wp14:sizeRelH relativeFrom="page">
              <wp14:pctWidth>0</wp14:pctWidth>
            </wp14:sizeRelH>
            <wp14:sizeRelV relativeFrom="page">
              <wp14:pctHeight>0</wp14:pctHeight>
            </wp14:sizeRelV>
          </wp:anchor>
        </w:drawing>
      </w:r>
    </w:p>
    <w:p w14:paraId="13B46FD4" w14:textId="1B1EDA70" w:rsidR="00376085" w:rsidRPr="00570770" w:rsidRDefault="00376085" w:rsidP="00376085">
      <w:pPr>
        <w:rPr>
          <w:rFonts w:ascii="Arial" w:hAnsi="Arial" w:cs="Arial"/>
        </w:rPr>
      </w:pPr>
    </w:p>
    <w:p w14:paraId="13BE120F" w14:textId="329A0943" w:rsidR="00376085" w:rsidRPr="00570770" w:rsidRDefault="00376085" w:rsidP="00376085">
      <w:pPr>
        <w:rPr>
          <w:rFonts w:ascii="Arial" w:hAnsi="Arial" w:cs="Arial"/>
        </w:rPr>
      </w:pPr>
    </w:p>
    <w:p w14:paraId="01745A01" w14:textId="1CC43475" w:rsidR="00430D54" w:rsidRPr="00570770" w:rsidRDefault="00430D54" w:rsidP="00430D54">
      <w:pPr>
        <w:pStyle w:val="ListParagraph"/>
        <w:rPr>
          <w:rFonts w:ascii="Arial" w:hAnsi="Arial" w:cs="Arial"/>
        </w:rPr>
      </w:pPr>
      <w:r w:rsidRPr="00570770">
        <w:rPr>
          <w:rFonts w:ascii="Arial" w:hAnsi="Arial" w:cs="Arial"/>
        </w:rPr>
        <w:tab/>
      </w:r>
      <w:r w:rsidRPr="00570770">
        <w:rPr>
          <w:rFonts w:ascii="Arial" w:hAnsi="Arial" w:cs="Arial"/>
        </w:rPr>
        <w:tab/>
      </w:r>
      <w:r w:rsidRPr="00570770">
        <w:rPr>
          <w:rFonts w:ascii="Arial" w:hAnsi="Arial" w:cs="Arial"/>
        </w:rPr>
        <w:tab/>
      </w:r>
      <w:r w:rsidRPr="00570770">
        <w:rPr>
          <w:rFonts w:ascii="Arial" w:hAnsi="Arial" w:cs="Arial"/>
        </w:rPr>
        <w:tab/>
      </w:r>
      <w:r w:rsidRPr="00570770">
        <w:rPr>
          <w:rFonts w:ascii="Arial" w:hAnsi="Arial" w:cs="Arial"/>
        </w:rPr>
        <w:tab/>
      </w:r>
      <w:r w:rsidRPr="00570770">
        <w:rPr>
          <w:rFonts w:ascii="Arial" w:hAnsi="Arial" w:cs="Arial"/>
        </w:rPr>
        <w:tab/>
      </w:r>
    </w:p>
    <w:p w14:paraId="6E25E7E1" w14:textId="4D82B7B2" w:rsidR="00336963" w:rsidRPr="00570770" w:rsidRDefault="00336963">
      <w:pPr>
        <w:rPr>
          <w:rFonts w:ascii="Arial" w:hAnsi="Arial" w:cs="Arial"/>
        </w:rPr>
      </w:pPr>
    </w:p>
    <w:p w14:paraId="3A86EA89" w14:textId="2EB740EB" w:rsidR="00336963" w:rsidRPr="00570770" w:rsidRDefault="00336963">
      <w:pPr>
        <w:rPr>
          <w:rFonts w:ascii="Arial" w:hAnsi="Arial" w:cs="Arial"/>
        </w:rPr>
      </w:pPr>
    </w:p>
    <w:p w14:paraId="21E4A0E9" w14:textId="0F67B811" w:rsidR="009A1A78" w:rsidRPr="00570770" w:rsidRDefault="009A1A78">
      <w:pPr>
        <w:rPr>
          <w:rFonts w:ascii="Arial" w:hAnsi="Arial" w:cs="Arial"/>
        </w:rPr>
      </w:pPr>
    </w:p>
    <w:p w14:paraId="58DFDE78" w14:textId="190D1CC0" w:rsidR="009A1A78" w:rsidRPr="00570770" w:rsidRDefault="00C837C2">
      <w:pPr>
        <w:rPr>
          <w:rFonts w:ascii="Arial" w:hAnsi="Arial" w:cs="Arial"/>
        </w:rPr>
      </w:pPr>
      <w:r w:rsidRPr="00570770">
        <w:rPr>
          <w:rFonts w:ascii="Arial" w:hAnsi="Arial" w:cs="Arial"/>
          <w:noProof/>
        </w:rPr>
        <mc:AlternateContent>
          <mc:Choice Requires="wps">
            <w:drawing>
              <wp:anchor distT="0" distB="0" distL="114300" distR="114300" simplePos="0" relativeHeight="251656192" behindDoc="0" locked="0" layoutInCell="1" allowOverlap="1" wp14:anchorId="46F10A4E" wp14:editId="1FA11727">
                <wp:simplePos x="0" y="0"/>
                <wp:positionH relativeFrom="column">
                  <wp:posOffset>56349</wp:posOffset>
                </wp:positionH>
                <wp:positionV relativeFrom="paragraph">
                  <wp:posOffset>44936</wp:posOffset>
                </wp:positionV>
                <wp:extent cx="2213361" cy="589660"/>
                <wp:effectExtent l="0" t="0" r="0" b="0"/>
                <wp:wrapNone/>
                <wp:docPr id="255020473" name="Text Box 11"/>
                <wp:cNvGraphicFramePr/>
                <a:graphic xmlns:a="http://schemas.openxmlformats.org/drawingml/2006/main">
                  <a:graphicData uri="http://schemas.microsoft.com/office/word/2010/wordprocessingShape">
                    <wps:wsp>
                      <wps:cNvSpPr txBox="1"/>
                      <wps:spPr>
                        <a:xfrm>
                          <a:off x="0" y="0"/>
                          <a:ext cx="2213361" cy="589660"/>
                        </a:xfrm>
                        <a:prstGeom prst="rect">
                          <a:avLst/>
                        </a:prstGeom>
                        <a:noFill/>
                        <a:ln w="6350">
                          <a:noFill/>
                        </a:ln>
                      </wps:spPr>
                      <wps:txbx>
                        <w:txbxContent>
                          <w:p w14:paraId="379AC084" w14:textId="79EF16DE" w:rsidR="009A1A78" w:rsidRPr="009A1A78" w:rsidRDefault="009A1A78">
                            <w:pPr>
                              <w:rPr>
                                <w:sz w:val="16"/>
                                <w:szCs w:val="16"/>
                              </w:rPr>
                            </w:pPr>
                            <w:r w:rsidRPr="009A1A78">
                              <w:rPr>
                                <w:b/>
                                <w:bCs/>
                                <w:sz w:val="16"/>
                                <w:szCs w:val="16"/>
                              </w:rPr>
                              <w:t>Expected “</w:t>
                            </w:r>
                            <w:proofErr w:type="gramStart"/>
                            <w:r w:rsidRPr="009A1A78">
                              <w:rPr>
                                <w:b/>
                                <w:bCs/>
                                <w:sz w:val="16"/>
                                <w:szCs w:val="16"/>
                              </w:rPr>
                              <w:t>receiver”  fluorescence</w:t>
                            </w:r>
                            <w:proofErr w:type="gramEnd"/>
                            <w:r w:rsidRPr="009A1A78">
                              <w:rPr>
                                <w:b/>
                                <w:bCs/>
                                <w:sz w:val="16"/>
                                <w:szCs w:val="16"/>
                              </w:rPr>
                              <w:t xml:space="preserve"> expression pattern</w:t>
                            </w:r>
                            <w:r w:rsidRPr="009A1A78">
                              <w:rPr>
                                <w:sz w:val="16"/>
                                <w:szCs w:val="16"/>
                              </w:rPr>
                              <w:t xml:space="preserve"> from induced “sender” cells </w:t>
                            </w:r>
                            <w:r>
                              <w:rPr>
                                <w:sz w:val="16"/>
                                <w:szCs w:val="16"/>
                              </w:rPr>
                              <w:t>using a homologous quorum sensing 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10A4E" id="Text Box 11" o:spid="_x0000_s1028" type="#_x0000_t202" style="position:absolute;margin-left:4.45pt;margin-top:3.55pt;width:174.3pt;height:4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a/EkGgIAADMEAAAOAAAAZHJzL2Uyb0RvYy54bWysU9tuGyEQfa+Uf0C81+t7k5XXkZPIVSUr&#13;&#10;ieREecYseFcChgL2rvv1HVjflPap6gsMzDCXcw6z+1YrshfO12AKOuj1KRGGQ1mbbUHf35Zfbynx&#13;&#10;gZmSKTCioAfh6f385sussbkYQgWqFI5gEuPzxha0CsHmWeZ5JTTzPbDCoFOC0yzg0W2z0rEGs2uV&#13;&#10;Dfv9adaAK60DLrzH26fOSecpv5SChxcpvQhEFRR7C2l1ad3ENZvPWL51zFY1P7bB/qELzWqDRc+p&#13;&#10;nlhgZOfqP1LpmjvwIEOPg85AypqLNANOM+h/mmZdMSvSLAiOt2eY/P9Ly5/3a/vqSGgfoEUCIyCN&#13;&#10;9bnHyzhPK52OO3ZK0I8QHs6wiTYQjpfD4WA0mg4o4eib3N5NpwnX7PLaOh++C9AkGgV1SEtCi+1X&#13;&#10;PmBFDD2FxGIGlrVSiRplSFPQ6WjSTw/OHnyhDD689Bqt0G5aUpfY0mmODZQHHM9Bx7y3fFljDyvm&#13;&#10;wytzSDVOhPINL7hIBVgLjhYlFbhff7uP8cgAeilpUDoF9T93zAlK1A+D3NwNxuOotXQYT74N8eCu&#13;&#10;PZtrj9npR0B1In7YXTJjfFAnUzrQH6jyRayKLmY41i5oOJmPoRM0/hIuFosUhOqyLKzM2vKYOqIa&#13;&#10;EX5rP5izRxoCEvgMJ5Gx/BMbXWzHx2IXQNaJqohzh+oRflRmYvD4i6L0r88p6vLX578BAAD//wMA&#13;&#10;UEsDBBQABgAIAAAAIQAqR4NQ4gAAAAwBAAAPAAAAZHJzL2Rvd25yZXYueG1sTE9NT8JAEL2b+B82&#13;&#10;Y+JNdsFUSumWkBpiYuQAcvG27Q5tw37U7gLVX+940stLJu/N+8hXozXsgkPovJMwnQhg6GqvO9dI&#13;&#10;OLxvHlJgISqnlfEOJXxhgFVxe5OrTPur2+FlHxtGJi5kSkIbY59xHuoWrQoT36Mj7ugHqyKdQ8P1&#13;&#10;oK5kbg2fCfHEreocJbSqx7LF+rQ/Wwmv5WardtXMpt+mfHk7rvvPw0ci5f3d+LwkWC+BRRzj3wf8&#13;&#10;bqD+UFCxyp+dDsxISBcklDCfAiP2MZknwCqSCSGAFzn/P6L4AQAA//8DAFBLAQItABQABgAIAAAA&#13;&#10;IQC2gziS/gAAAOEBAAATAAAAAAAAAAAAAAAAAAAAAABbQ29udGVudF9UeXBlc10ueG1sUEsBAi0A&#13;&#10;FAAGAAgAAAAhADj9If/WAAAAlAEAAAsAAAAAAAAAAAAAAAAALwEAAF9yZWxzLy5yZWxzUEsBAi0A&#13;&#10;FAAGAAgAAAAhAKRr8SQaAgAAMwQAAA4AAAAAAAAAAAAAAAAALgIAAGRycy9lMm9Eb2MueG1sUEsB&#13;&#10;Ai0AFAAGAAgAAAAhACpHg1DiAAAADAEAAA8AAAAAAAAAAAAAAAAAdAQAAGRycy9kb3ducmV2Lnht&#13;&#10;bFBLBQYAAAAABAAEAPMAAACDBQAAAAA=&#13;&#10;" filled="f" stroked="f" strokeweight=".5pt">
                <v:textbox>
                  <w:txbxContent>
                    <w:p w14:paraId="379AC084" w14:textId="79EF16DE" w:rsidR="009A1A78" w:rsidRPr="009A1A78" w:rsidRDefault="009A1A78">
                      <w:pPr>
                        <w:rPr>
                          <w:sz w:val="16"/>
                          <w:szCs w:val="16"/>
                        </w:rPr>
                      </w:pPr>
                      <w:r w:rsidRPr="009A1A78">
                        <w:rPr>
                          <w:b/>
                          <w:bCs/>
                          <w:sz w:val="16"/>
                          <w:szCs w:val="16"/>
                        </w:rPr>
                        <w:t>Expected “</w:t>
                      </w:r>
                      <w:proofErr w:type="gramStart"/>
                      <w:r w:rsidRPr="009A1A78">
                        <w:rPr>
                          <w:b/>
                          <w:bCs/>
                          <w:sz w:val="16"/>
                          <w:szCs w:val="16"/>
                        </w:rPr>
                        <w:t>receiver”  fluorescence</w:t>
                      </w:r>
                      <w:proofErr w:type="gramEnd"/>
                      <w:r w:rsidRPr="009A1A78">
                        <w:rPr>
                          <w:b/>
                          <w:bCs/>
                          <w:sz w:val="16"/>
                          <w:szCs w:val="16"/>
                        </w:rPr>
                        <w:t xml:space="preserve"> expression pattern</w:t>
                      </w:r>
                      <w:r w:rsidRPr="009A1A78">
                        <w:rPr>
                          <w:sz w:val="16"/>
                          <w:szCs w:val="16"/>
                        </w:rPr>
                        <w:t xml:space="preserve"> from induced “sender” cells </w:t>
                      </w:r>
                      <w:r>
                        <w:rPr>
                          <w:sz w:val="16"/>
                          <w:szCs w:val="16"/>
                        </w:rPr>
                        <w:t>using a homologous quorum sensing system</w:t>
                      </w:r>
                    </w:p>
                  </w:txbxContent>
                </v:textbox>
              </v:shape>
            </w:pict>
          </mc:Fallback>
        </mc:AlternateContent>
      </w:r>
      <w:r w:rsidR="009A1A78" w:rsidRPr="00570770">
        <w:rPr>
          <w:rFonts w:ascii="Arial" w:hAnsi="Arial" w:cs="Arial"/>
          <w:noProof/>
        </w:rPr>
        <mc:AlternateContent>
          <mc:Choice Requires="wps">
            <w:drawing>
              <wp:anchor distT="0" distB="0" distL="114300" distR="114300" simplePos="0" relativeHeight="251658240" behindDoc="0" locked="0" layoutInCell="1" allowOverlap="1" wp14:anchorId="23786996" wp14:editId="0201F855">
                <wp:simplePos x="0" y="0"/>
                <wp:positionH relativeFrom="column">
                  <wp:posOffset>2494280</wp:posOffset>
                </wp:positionH>
                <wp:positionV relativeFrom="paragraph">
                  <wp:posOffset>92550</wp:posOffset>
                </wp:positionV>
                <wp:extent cx="3281585" cy="427290"/>
                <wp:effectExtent l="0" t="0" r="0" b="0"/>
                <wp:wrapNone/>
                <wp:docPr id="479214052" name="Text Box 12"/>
                <wp:cNvGraphicFramePr/>
                <a:graphic xmlns:a="http://schemas.openxmlformats.org/drawingml/2006/main">
                  <a:graphicData uri="http://schemas.microsoft.com/office/word/2010/wordprocessingShape">
                    <wps:wsp>
                      <wps:cNvSpPr txBox="1"/>
                      <wps:spPr>
                        <a:xfrm>
                          <a:off x="0" y="0"/>
                          <a:ext cx="3281585" cy="427290"/>
                        </a:xfrm>
                        <a:prstGeom prst="rect">
                          <a:avLst/>
                        </a:prstGeom>
                        <a:noFill/>
                        <a:ln w="6350">
                          <a:noFill/>
                        </a:ln>
                      </wps:spPr>
                      <wps:txbx>
                        <w:txbxContent>
                          <w:p w14:paraId="6CED95A1" w14:textId="6362C03D" w:rsidR="009A1A78" w:rsidRPr="009A1A78" w:rsidRDefault="009A1A78" w:rsidP="009A1A78">
                            <w:pPr>
                              <w:rPr>
                                <w:sz w:val="16"/>
                                <w:szCs w:val="16"/>
                              </w:rPr>
                            </w:pPr>
                            <w:proofErr w:type="spellStart"/>
                            <w:r w:rsidRPr="009A1A78">
                              <w:rPr>
                                <w:b/>
                                <w:bCs/>
                                <w:sz w:val="16"/>
                                <w:szCs w:val="16"/>
                              </w:rPr>
                              <w:t>LasIR</w:t>
                            </w:r>
                            <w:proofErr w:type="spellEnd"/>
                            <w:r w:rsidRPr="009A1A78">
                              <w:rPr>
                                <w:b/>
                                <w:bCs/>
                                <w:sz w:val="16"/>
                                <w:szCs w:val="16"/>
                              </w:rPr>
                              <w:t xml:space="preserve"> experiment results. </w:t>
                            </w:r>
                            <w:r>
                              <w:rPr>
                                <w:sz w:val="16"/>
                                <w:szCs w:val="16"/>
                              </w:rPr>
                              <w:t>Left plate has uninduced “sender” cells and right plate has fully induced “sender” cells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3786996" id="Text Box 12" o:spid="_x0000_s1029" type="#_x0000_t202" style="position:absolute;margin-left:196.4pt;margin-top:7.3pt;width:258.4pt;height:33.6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HF6sHAIAADMEAAAOAAAAZHJzL2Uyb0RvYy54bWysU01vGyEQvVfqf0Dc67U3duKsvI7cRK4q&#13;&#10;WUkkp8oZs+BFYhkK2Lvur+/A+ktpT1UvMDDDfLz3mD10jSZ74bwCU9LRYEiJMBwqZbYl/fG2/DKl&#13;&#10;xAdmKqbBiJIehKcP88+fZq0tRA416Eo4gkmML1pb0joEW2SZ57VomB+AFQadElzDAh7dNqscazF7&#13;&#10;o7N8OLzNWnCVdcCF93j71DvpPOWXUvDwIqUXgeiSYm8hrS6tm7hm8xkrto7ZWvFjG+wfumiYMlj0&#13;&#10;nOqJBUZ2Tv2RqlHcgQcZBhyaDKRUXKQZcJrR8MM065pZkWZBcLw9w+T/X1r+vF/bV0dC9xU6JDAC&#13;&#10;0lpfeLyM83TSNXHHTgn6EcLDGTbRBcLx8iafjibTCSUcfeP8Lr9PuGaX19b58E1AQ6JRUoe0JLTY&#13;&#10;fuUDVsTQU0gsZmCptE7UaEPakt7eTIbpwdmDL7TBh5deoxW6TUdUhS2d5thAdcDxHPTMe8uXCntY&#13;&#10;MR9emUOqcSKUb3jBRWrAWnC0KKnB/frbfYxHBtBLSYvSKan/uWNOUKK/G+TmfjQeR62lw3hyl+PB&#13;&#10;XXs21x6zax4B1TnCj2J5MmN80CdTOmjeUeWLWBVdzHCsXdJwMh9DL2j8JVwsFikI1WVZWJm15TF1&#13;&#10;RDUi/Na9M2ePNAQk8BlOImPFBzb62J6PxS6AVImqiHOP6hF+VGZi8PiLovSvzynq8tfnvwEAAP//&#13;&#10;AwBQSwMEFAAGAAgAAAAhAEQnV+LlAAAADgEAAA8AAABkcnMvZG93bnJldi54bWxMj0FPwzAMhe9I&#13;&#10;/IfISNxYugJT2zWdpqIJCbHDxi7c3MZrK5qkNNlW+PWYE1wsW89+/l6+mkwvzjT6zlkF81kEgmzt&#13;&#10;dGcbBYe3zV0Cwge0GntnScEXeVgV11c5Ztpd7I7O+9AINrE+QwVtCEMmpa9bMuhnbiDL2tGNBgOP&#13;&#10;YyP1iBc2N72Mo2ghDXaWP7Q4UNlS/bE/GQUv5WaLuyo2yXdfPr8e18Pn4f1Rqdub6WnJZb0EEWgK&#13;&#10;fxfwm4H5oWCwyp2s9qJXcJ/GzB9YeFiA4IU0SrmpFCTzFGSRy/8xih8AAAD//wMAUEsBAi0AFAAG&#13;&#10;AAgAAAAhALaDOJL+AAAA4QEAABMAAAAAAAAAAAAAAAAAAAAAAFtDb250ZW50X1R5cGVzXS54bWxQ&#13;&#10;SwECLQAUAAYACAAAACEAOP0h/9YAAACUAQAACwAAAAAAAAAAAAAAAAAvAQAAX3JlbHMvLnJlbHNQ&#13;&#10;SwECLQAUAAYACAAAACEAMRxerBwCAAAzBAAADgAAAAAAAAAAAAAAAAAuAgAAZHJzL2Uyb0RvYy54&#13;&#10;bWxQSwECLQAUAAYACAAAACEARCdX4uUAAAAOAQAADwAAAAAAAAAAAAAAAAB2BAAAZHJzL2Rvd25y&#13;&#10;ZXYueG1sUEsFBgAAAAAEAAQA8wAAAIgFAAAAAA==&#13;&#10;" filled="f" stroked="f" strokeweight=".5pt">
                <v:textbox>
                  <w:txbxContent>
                    <w:p w14:paraId="6CED95A1" w14:textId="6362C03D" w:rsidR="009A1A78" w:rsidRPr="009A1A78" w:rsidRDefault="009A1A78" w:rsidP="009A1A78">
                      <w:pPr>
                        <w:rPr>
                          <w:sz w:val="16"/>
                          <w:szCs w:val="16"/>
                        </w:rPr>
                      </w:pPr>
                      <w:proofErr w:type="spellStart"/>
                      <w:r w:rsidRPr="009A1A78">
                        <w:rPr>
                          <w:b/>
                          <w:bCs/>
                          <w:sz w:val="16"/>
                          <w:szCs w:val="16"/>
                        </w:rPr>
                        <w:t>LasIR</w:t>
                      </w:r>
                      <w:proofErr w:type="spellEnd"/>
                      <w:r w:rsidRPr="009A1A78">
                        <w:rPr>
                          <w:b/>
                          <w:bCs/>
                          <w:sz w:val="16"/>
                          <w:szCs w:val="16"/>
                        </w:rPr>
                        <w:t xml:space="preserve"> experiment results. </w:t>
                      </w:r>
                      <w:r>
                        <w:rPr>
                          <w:sz w:val="16"/>
                          <w:szCs w:val="16"/>
                        </w:rPr>
                        <w:t>Left plate has uninduced “sender” cells and right plate has fully induced “sender” cells</w:t>
                      </w:r>
                    </w:p>
                  </w:txbxContent>
                </v:textbox>
              </v:shape>
            </w:pict>
          </mc:Fallback>
        </mc:AlternateContent>
      </w:r>
    </w:p>
    <w:p w14:paraId="3A327C24" w14:textId="5549BD5B" w:rsidR="009A1A78" w:rsidRPr="00570770" w:rsidRDefault="009A1A78">
      <w:pPr>
        <w:rPr>
          <w:rFonts w:ascii="Arial" w:hAnsi="Arial" w:cs="Arial"/>
        </w:rPr>
      </w:pPr>
    </w:p>
    <w:p w14:paraId="48DD02F0" w14:textId="34072D0E" w:rsidR="00AC09A1" w:rsidRPr="00570770" w:rsidRDefault="00AC09A1">
      <w:pPr>
        <w:rPr>
          <w:rFonts w:ascii="Arial" w:hAnsi="Arial" w:cs="Arial"/>
        </w:rPr>
      </w:pPr>
    </w:p>
    <w:p w14:paraId="1258330D" w14:textId="347F57AE" w:rsidR="009A1A78" w:rsidRPr="00570770" w:rsidRDefault="009A1A78">
      <w:pPr>
        <w:rPr>
          <w:rFonts w:ascii="Arial" w:hAnsi="Arial" w:cs="Arial"/>
        </w:rPr>
      </w:pPr>
    </w:p>
    <w:p w14:paraId="1453867B" w14:textId="173B43A7" w:rsidR="009A1A78" w:rsidRPr="00570770" w:rsidRDefault="009A1A78">
      <w:pPr>
        <w:rPr>
          <w:rFonts w:ascii="Arial" w:hAnsi="Arial" w:cs="Arial"/>
          <w:b/>
          <w:bCs/>
        </w:rPr>
      </w:pPr>
      <w:r w:rsidRPr="00570770">
        <w:rPr>
          <w:rFonts w:ascii="Arial" w:hAnsi="Arial" w:cs="Arial"/>
          <w:b/>
          <w:bCs/>
        </w:rPr>
        <w:t>Details:</w:t>
      </w:r>
    </w:p>
    <w:p w14:paraId="579F11BE" w14:textId="6BF13F75" w:rsidR="009A1A78" w:rsidRPr="00570770" w:rsidRDefault="009A1A78">
      <w:pPr>
        <w:rPr>
          <w:rFonts w:ascii="Arial" w:hAnsi="Arial" w:cs="Arial"/>
          <w:b/>
          <w:bCs/>
        </w:rPr>
      </w:pPr>
    </w:p>
    <w:p w14:paraId="769D54C7" w14:textId="61EF1063" w:rsidR="00F14A57" w:rsidRPr="00570770" w:rsidRDefault="00C837C2">
      <w:pPr>
        <w:rPr>
          <w:rFonts w:ascii="Arial" w:hAnsi="Arial" w:cs="Arial"/>
        </w:rPr>
      </w:pPr>
      <w:r>
        <w:rPr>
          <w:rFonts w:ascii="Arial" w:hAnsi="Arial" w:cs="Arial"/>
        </w:rPr>
        <w:t>After sequence verification, t</w:t>
      </w:r>
      <w:r w:rsidR="00894F17" w:rsidRPr="00570770">
        <w:rPr>
          <w:rFonts w:ascii="Arial" w:hAnsi="Arial" w:cs="Arial"/>
        </w:rPr>
        <w:t xml:space="preserve">he </w:t>
      </w:r>
      <w:proofErr w:type="spellStart"/>
      <w:r w:rsidR="00894F17" w:rsidRPr="00570770">
        <w:rPr>
          <w:rFonts w:ascii="Arial" w:hAnsi="Arial" w:cs="Arial"/>
        </w:rPr>
        <w:t>LasI</w:t>
      </w:r>
      <w:proofErr w:type="spellEnd"/>
      <w:r w:rsidR="00894F17" w:rsidRPr="00570770">
        <w:rPr>
          <w:rFonts w:ascii="Arial" w:hAnsi="Arial" w:cs="Arial"/>
        </w:rPr>
        <w:t xml:space="preserve"> sequence was </w:t>
      </w:r>
      <w:r>
        <w:rPr>
          <w:rFonts w:ascii="Arial" w:hAnsi="Arial" w:cs="Arial"/>
        </w:rPr>
        <w:t>amplified from</w:t>
      </w:r>
      <w:r w:rsidR="00894F17" w:rsidRPr="00570770">
        <w:rPr>
          <w:rFonts w:ascii="Arial" w:hAnsi="Arial" w:cs="Arial"/>
        </w:rPr>
        <w:t xml:space="preserve"> </w:t>
      </w:r>
      <w:proofErr w:type="spellStart"/>
      <w:r w:rsidR="00894F17" w:rsidRPr="00570770">
        <w:rPr>
          <w:rFonts w:ascii="Arial" w:hAnsi="Arial" w:cs="Arial"/>
        </w:rPr>
        <w:t>Addgene</w:t>
      </w:r>
      <w:proofErr w:type="spellEnd"/>
      <w:r w:rsidR="00894F17" w:rsidRPr="00570770">
        <w:rPr>
          <w:rFonts w:ascii="Arial" w:hAnsi="Arial" w:cs="Arial"/>
        </w:rPr>
        <w:t xml:space="preserve"> plasmid pLux76-LasI</w:t>
      </w:r>
      <w:r w:rsidR="004046C9" w:rsidRPr="00570770">
        <w:rPr>
          <w:rFonts w:ascii="Arial" w:hAnsi="Arial" w:cs="Arial"/>
          <w:vertAlign w:val="superscript"/>
        </w:rPr>
        <w:t>2</w:t>
      </w:r>
      <w:r>
        <w:rPr>
          <w:rFonts w:ascii="Arial" w:hAnsi="Arial" w:cs="Arial"/>
        </w:rPr>
        <w:t>. A C-terminal</w:t>
      </w:r>
      <w:r w:rsidR="00602716" w:rsidRPr="00570770">
        <w:rPr>
          <w:rFonts w:ascii="Arial" w:hAnsi="Arial" w:cs="Arial"/>
        </w:rPr>
        <w:t xml:space="preserve"> 10x </w:t>
      </w:r>
      <w:proofErr w:type="spellStart"/>
      <w:r w:rsidR="00602716" w:rsidRPr="00570770">
        <w:rPr>
          <w:rFonts w:ascii="Arial" w:hAnsi="Arial" w:cs="Arial"/>
        </w:rPr>
        <w:t>HisTag</w:t>
      </w:r>
      <w:proofErr w:type="spellEnd"/>
      <w:r w:rsidR="00602716" w:rsidRPr="00570770">
        <w:rPr>
          <w:rFonts w:ascii="Arial" w:hAnsi="Arial" w:cs="Arial"/>
        </w:rPr>
        <w:t xml:space="preserve"> </w:t>
      </w:r>
      <w:r>
        <w:rPr>
          <w:rFonts w:ascii="Arial" w:hAnsi="Arial" w:cs="Arial"/>
        </w:rPr>
        <w:t xml:space="preserve">was added </w:t>
      </w:r>
      <w:r w:rsidR="00894F17" w:rsidRPr="00570770">
        <w:rPr>
          <w:rFonts w:ascii="Arial" w:hAnsi="Arial" w:cs="Arial"/>
        </w:rPr>
        <w:t>and</w:t>
      </w:r>
      <w:r>
        <w:rPr>
          <w:rFonts w:ascii="Arial" w:hAnsi="Arial" w:cs="Arial"/>
        </w:rPr>
        <w:t xml:space="preserve"> the modified </w:t>
      </w:r>
      <w:proofErr w:type="spellStart"/>
      <w:r>
        <w:rPr>
          <w:rFonts w:ascii="Arial" w:hAnsi="Arial" w:cs="Arial"/>
        </w:rPr>
        <w:t>LasI</w:t>
      </w:r>
      <w:proofErr w:type="spellEnd"/>
      <w:r w:rsidR="00894F17" w:rsidRPr="00570770">
        <w:rPr>
          <w:rFonts w:ascii="Arial" w:hAnsi="Arial" w:cs="Arial"/>
        </w:rPr>
        <w:t xml:space="preserve"> </w:t>
      </w:r>
      <w:r w:rsidR="00602716" w:rsidRPr="00570770">
        <w:rPr>
          <w:rFonts w:ascii="Arial" w:hAnsi="Arial" w:cs="Arial"/>
        </w:rPr>
        <w:t xml:space="preserve">was </w:t>
      </w:r>
      <w:r w:rsidR="00894F17" w:rsidRPr="00570770">
        <w:rPr>
          <w:rFonts w:ascii="Arial" w:hAnsi="Arial" w:cs="Arial"/>
        </w:rPr>
        <w:t>cloned into an IPTG-inducible vector</w:t>
      </w:r>
      <w:r w:rsidR="00F14A57" w:rsidRPr="00570770">
        <w:rPr>
          <w:rFonts w:ascii="Arial" w:hAnsi="Arial" w:cs="Arial"/>
        </w:rPr>
        <w:t>.</w:t>
      </w:r>
    </w:p>
    <w:p w14:paraId="46D5B55F" w14:textId="77777777" w:rsidR="00F14A57" w:rsidRPr="00570770" w:rsidRDefault="00F14A57">
      <w:pPr>
        <w:rPr>
          <w:rFonts w:ascii="Arial" w:hAnsi="Arial" w:cs="Arial"/>
        </w:rPr>
      </w:pPr>
    </w:p>
    <w:p w14:paraId="1E460B63" w14:textId="6372D69C" w:rsidR="00894F17" w:rsidRPr="00570770" w:rsidRDefault="00C837C2">
      <w:pPr>
        <w:rPr>
          <w:rFonts w:ascii="Arial" w:hAnsi="Arial" w:cs="Arial"/>
        </w:rPr>
      </w:pPr>
      <w:r>
        <w:rPr>
          <w:rFonts w:ascii="Arial" w:hAnsi="Arial" w:cs="Arial"/>
        </w:rPr>
        <w:t>After sequence verification, t</w:t>
      </w:r>
      <w:r w:rsidR="00F14A57" w:rsidRPr="00570770">
        <w:rPr>
          <w:rFonts w:ascii="Arial" w:hAnsi="Arial" w:cs="Arial"/>
        </w:rPr>
        <w:t xml:space="preserve">he </w:t>
      </w:r>
      <w:proofErr w:type="spellStart"/>
      <w:r w:rsidR="00F14A57" w:rsidRPr="00570770">
        <w:rPr>
          <w:rFonts w:ascii="Arial" w:hAnsi="Arial" w:cs="Arial"/>
        </w:rPr>
        <w:t>LasR</w:t>
      </w:r>
      <w:proofErr w:type="spellEnd"/>
      <w:r w:rsidR="00F14A57" w:rsidRPr="00570770">
        <w:rPr>
          <w:rFonts w:ascii="Arial" w:hAnsi="Arial" w:cs="Arial"/>
        </w:rPr>
        <w:t xml:space="preserve"> protein and promoter sequences were amplified from the </w:t>
      </w:r>
      <w:proofErr w:type="spellStart"/>
      <w:r w:rsidR="00F14A57" w:rsidRPr="00570770">
        <w:rPr>
          <w:rFonts w:ascii="Arial" w:hAnsi="Arial" w:cs="Arial"/>
        </w:rPr>
        <w:t>Addgene</w:t>
      </w:r>
      <w:proofErr w:type="spellEnd"/>
      <w:r w:rsidR="00F14A57" w:rsidRPr="00570770">
        <w:rPr>
          <w:rFonts w:ascii="Arial" w:hAnsi="Arial" w:cs="Arial"/>
        </w:rPr>
        <w:t xml:space="preserve"> plasmid Bsrs078-LasR</w:t>
      </w:r>
      <w:r w:rsidR="00E14533">
        <w:rPr>
          <w:rFonts w:ascii="Arial" w:hAnsi="Arial" w:cs="Arial"/>
          <w:vertAlign w:val="superscript"/>
        </w:rPr>
        <w:t>6</w:t>
      </w:r>
      <w:r w:rsidR="00F14A57" w:rsidRPr="00570770">
        <w:rPr>
          <w:rFonts w:ascii="Arial" w:hAnsi="Arial" w:cs="Arial"/>
        </w:rPr>
        <w:t xml:space="preserve"> and cloned into a </w:t>
      </w:r>
      <w:proofErr w:type="spellStart"/>
      <w:r w:rsidR="00F14A57" w:rsidRPr="00472C84">
        <w:rPr>
          <w:rFonts w:ascii="Arial" w:hAnsi="Arial" w:cs="Arial"/>
          <w:i/>
          <w:iCs/>
        </w:rPr>
        <w:t>gfp</w:t>
      </w:r>
      <w:proofErr w:type="spellEnd"/>
      <w:r w:rsidR="00F14A57" w:rsidRPr="00570770">
        <w:rPr>
          <w:rFonts w:ascii="Arial" w:hAnsi="Arial" w:cs="Arial"/>
        </w:rPr>
        <w:t>-containing vector.</w:t>
      </w:r>
      <w:r w:rsidR="00894F17" w:rsidRPr="00570770">
        <w:rPr>
          <w:rFonts w:ascii="Arial" w:hAnsi="Arial" w:cs="Arial"/>
        </w:rPr>
        <w:t xml:space="preserve"> </w:t>
      </w:r>
    </w:p>
    <w:p w14:paraId="5315C7FF" w14:textId="05A654BC" w:rsidR="00894F17" w:rsidRPr="00570770" w:rsidRDefault="00894F17">
      <w:pPr>
        <w:rPr>
          <w:rFonts w:ascii="Arial" w:hAnsi="Arial" w:cs="Arial"/>
        </w:rPr>
      </w:pPr>
    </w:p>
    <w:p w14:paraId="590D74A1" w14:textId="14C94E33" w:rsidR="00894F17" w:rsidRDefault="00F14A57">
      <w:pPr>
        <w:rPr>
          <w:rFonts w:ascii="Arial" w:hAnsi="Arial" w:cs="Arial"/>
        </w:rPr>
      </w:pPr>
      <w:r w:rsidRPr="00570770">
        <w:rPr>
          <w:rFonts w:ascii="Arial" w:hAnsi="Arial" w:cs="Arial"/>
        </w:rPr>
        <w:t xml:space="preserve">Sequence verification was performed using </w:t>
      </w:r>
      <w:proofErr w:type="gramStart"/>
      <w:r w:rsidRPr="00570770">
        <w:rPr>
          <w:rFonts w:ascii="Arial" w:hAnsi="Arial" w:cs="Arial"/>
        </w:rPr>
        <w:t>whole-plasmid</w:t>
      </w:r>
      <w:proofErr w:type="gramEnd"/>
      <w:r w:rsidRPr="00570770">
        <w:rPr>
          <w:rFonts w:ascii="Arial" w:hAnsi="Arial" w:cs="Arial"/>
        </w:rPr>
        <w:t xml:space="preserve"> nanopore sequencing and the </w:t>
      </w:r>
      <w:proofErr w:type="spellStart"/>
      <w:r w:rsidRPr="00570770">
        <w:rPr>
          <w:rFonts w:ascii="Arial" w:hAnsi="Arial" w:cs="Arial"/>
        </w:rPr>
        <w:t>pLannotate</w:t>
      </w:r>
      <w:proofErr w:type="spellEnd"/>
      <w:r w:rsidRPr="00570770">
        <w:rPr>
          <w:rFonts w:ascii="Arial" w:hAnsi="Arial" w:cs="Arial"/>
        </w:rPr>
        <w:t xml:space="preserve"> tool to confirm plasmid size and annotate expected components. </w:t>
      </w:r>
    </w:p>
    <w:p w14:paraId="09C9A910" w14:textId="5E7C48D0" w:rsidR="00BE7DD5" w:rsidRDefault="00BE7DD5">
      <w:pPr>
        <w:rPr>
          <w:rFonts w:ascii="Arial" w:hAnsi="Arial" w:cs="Arial"/>
        </w:rPr>
      </w:pPr>
    </w:p>
    <w:p w14:paraId="6102398A" w14:textId="021213DF" w:rsidR="00BE7DD5" w:rsidRPr="00570770" w:rsidRDefault="00BE7DD5">
      <w:pPr>
        <w:rPr>
          <w:rFonts w:ascii="Arial" w:hAnsi="Arial" w:cs="Arial"/>
        </w:rPr>
      </w:pPr>
      <w:proofErr w:type="spellStart"/>
      <w:r>
        <w:rPr>
          <w:rFonts w:ascii="Arial" w:hAnsi="Arial" w:cs="Arial"/>
        </w:rPr>
        <w:t>pLannotate</w:t>
      </w:r>
      <w:proofErr w:type="spellEnd"/>
      <w:r>
        <w:rPr>
          <w:rFonts w:ascii="Arial" w:hAnsi="Arial" w:cs="Arial"/>
        </w:rPr>
        <w:t xml:space="preserve"> showed plasmids of the expected size. </w:t>
      </w:r>
      <w:proofErr w:type="spellStart"/>
      <w:r>
        <w:rPr>
          <w:rFonts w:ascii="Arial" w:hAnsi="Arial" w:cs="Arial"/>
        </w:rPr>
        <w:t>LasI</w:t>
      </w:r>
      <w:proofErr w:type="spellEnd"/>
      <w:r>
        <w:rPr>
          <w:rFonts w:ascii="Arial" w:hAnsi="Arial" w:cs="Arial"/>
        </w:rPr>
        <w:t xml:space="preserve"> had 99% sequence identity to sequence databases. </w:t>
      </w:r>
      <w:proofErr w:type="spellStart"/>
      <w:r>
        <w:rPr>
          <w:rFonts w:ascii="Arial" w:hAnsi="Arial" w:cs="Arial"/>
        </w:rPr>
        <w:t>LasR</w:t>
      </w:r>
      <w:proofErr w:type="spellEnd"/>
      <w:r>
        <w:rPr>
          <w:rFonts w:ascii="Arial" w:hAnsi="Arial" w:cs="Arial"/>
        </w:rPr>
        <w:t xml:space="preserve"> has 100% sequence identity to sequence databases.  </w:t>
      </w:r>
    </w:p>
    <w:p w14:paraId="55A75D61" w14:textId="6ADF48F5" w:rsidR="00602716" w:rsidRPr="00570770" w:rsidRDefault="00BE7DD5">
      <w:pPr>
        <w:rPr>
          <w:rFonts w:ascii="Arial" w:hAnsi="Arial" w:cs="Arial"/>
        </w:rPr>
      </w:pPr>
      <w:r>
        <w:rPr>
          <w:rFonts w:ascii="Arial" w:hAnsi="Arial" w:cs="Arial"/>
        </w:rPr>
        <w:t xml:space="preserve"> </w:t>
      </w:r>
    </w:p>
    <w:p w14:paraId="054477DC" w14:textId="1B228C17" w:rsidR="00F14A57" w:rsidRPr="00570770" w:rsidRDefault="00F14A57">
      <w:pPr>
        <w:rPr>
          <w:rFonts w:ascii="Arial" w:hAnsi="Arial" w:cs="Arial"/>
          <w:b/>
          <w:bCs/>
        </w:rPr>
      </w:pPr>
      <w:r w:rsidRPr="00570770">
        <w:rPr>
          <w:rFonts w:ascii="Arial" w:hAnsi="Arial" w:cs="Arial"/>
          <w:b/>
          <w:bCs/>
        </w:rPr>
        <w:t xml:space="preserve">Source of error: </w:t>
      </w:r>
    </w:p>
    <w:p w14:paraId="5230E02D" w14:textId="3899D4C4" w:rsidR="00F14A57" w:rsidRPr="00570770" w:rsidRDefault="00F14A57">
      <w:pPr>
        <w:rPr>
          <w:rFonts w:ascii="Arial" w:hAnsi="Arial" w:cs="Arial"/>
          <w:b/>
          <w:bCs/>
        </w:rPr>
      </w:pPr>
    </w:p>
    <w:p w14:paraId="008439D3" w14:textId="11F049B4" w:rsidR="00F14A57" w:rsidRPr="00570770" w:rsidRDefault="00E14533">
      <w:pPr>
        <w:rPr>
          <w:rFonts w:ascii="Arial" w:hAnsi="Arial" w:cs="Arial"/>
        </w:rPr>
      </w:pPr>
      <w:r>
        <w:rPr>
          <w:rFonts w:ascii="Arial" w:hAnsi="Arial" w:cs="Arial"/>
        </w:rPr>
        <w:t>A random mismatch introduced during PCR amplification</w:t>
      </w:r>
      <w:r w:rsidR="00F14A57" w:rsidRPr="00570770">
        <w:rPr>
          <w:rFonts w:ascii="Arial" w:hAnsi="Arial" w:cs="Arial"/>
        </w:rPr>
        <w:t xml:space="preserve"> results in the mutation </w:t>
      </w:r>
      <w:r w:rsidR="004266DD" w:rsidRPr="00570770">
        <w:rPr>
          <w:rFonts w:ascii="Arial" w:hAnsi="Arial" w:cs="Arial"/>
        </w:rPr>
        <w:t>L</w:t>
      </w:r>
      <w:r w:rsidR="00F14A57" w:rsidRPr="00570770">
        <w:rPr>
          <w:rFonts w:ascii="Arial" w:hAnsi="Arial" w:cs="Arial"/>
        </w:rPr>
        <w:t>72</w:t>
      </w:r>
      <w:r w:rsidR="004266DD" w:rsidRPr="00570770">
        <w:rPr>
          <w:rFonts w:ascii="Arial" w:hAnsi="Arial" w:cs="Arial"/>
        </w:rPr>
        <w:t>F</w:t>
      </w:r>
      <w:r w:rsidR="00F14A57" w:rsidRPr="00570770">
        <w:rPr>
          <w:rFonts w:ascii="Arial" w:hAnsi="Arial" w:cs="Arial"/>
        </w:rPr>
        <w:t>. This mutation creates a pi-cation interaction between the errant negatively charged phenylalanine and a nearby positively charged alanine that is critical in a coordination system required for AHL synthesis</w:t>
      </w:r>
      <w:r w:rsidR="004046C9" w:rsidRPr="00570770">
        <w:rPr>
          <w:rFonts w:ascii="Arial" w:hAnsi="Arial" w:cs="Arial"/>
          <w:vertAlign w:val="superscript"/>
        </w:rPr>
        <w:t>1</w:t>
      </w:r>
      <w:r w:rsidR="004046C9" w:rsidRPr="00570770">
        <w:rPr>
          <w:rFonts w:ascii="Arial" w:hAnsi="Arial" w:cs="Arial"/>
        </w:rPr>
        <w:t>.</w:t>
      </w:r>
      <w:r w:rsidR="00F14A57" w:rsidRPr="00570770">
        <w:rPr>
          <w:rFonts w:ascii="Arial" w:hAnsi="Arial" w:cs="Arial"/>
        </w:rPr>
        <w:t xml:space="preserve"> This was discovered by </w:t>
      </w:r>
      <w:r>
        <w:rPr>
          <w:rFonts w:ascii="Arial" w:hAnsi="Arial" w:cs="Arial"/>
        </w:rPr>
        <w:t xml:space="preserve">performing pairwise sequence alignment of the </w:t>
      </w:r>
      <w:proofErr w:type="spellStart"/>
      <w:r>
        <w:rPr>
          <w:rFonts w:ascii="Arial" w:hAnsi="Arial" w:cs="Arial"/>
        </w:rPr>
        <w:t>Addgene</w:t>
      </w:r>
      <w:proofErr w:type="spellEnd"/>
      <w:r>
        <w:rPr>
          <w:rFonts w:ascii="Arial" w:hAnsi="Arial" w:cs="Arial"/>
        </w:rPr>
        <w:t xml:space="preserve"> plasmid sequence and the final plasmid sequencing result</w:t>
      </w:r>
      <w:r w:rsidR="00F14A57" w:rsidRPr="00570770">
        <w:rPr>
          <w:rFonts w:ascii="Arial" w:hAnsi="Arial" w:cs="Arial"/>
        </w:rPr>
        <w:t xml:space="preserve">. </w:t>
      </w:r>
      <w:proofErr w:type="spellStart"/>
      <w:r w:rsidR="00F14A57" w:rsidRPr="00570770">
        <w:rPr>
          <w:rFonts w:ascii="Arial" w:hAnsi="Arial" w:cs="Arial"/>
        </w:rPr>
        <w:t>ChimeraX</w:t>
      </w:r>
      <w:proofErr w:type="spellEnd"/>
      <w:r w:rsidR="00F14A57" w:rsidRPr="00570770">
        <w:rPr>
          <w:rFonts w:ascii="Arial" w:hAnsi="Arial" w:cs="Arial"/>
        </w:rPr>
        <w:t xml:space="preserve"> and </w:t>
      </w:r>
      <w:r w:rsidR="004046C9" w:rsidRPr="00570770">
        <w:rPr>
          <w:rFonts w:ascii="Arial" w:hAnsi="Arial" w:cs="Arial"/>
        </w:rPr>
        <w:t>B</w:t>
      </w:r>
      <w:r w:rsidR="00F14A57" w:rsidRPr="00570770">
        <w:rPr>
          <w:rFonts w:ascii="Arial" w:hAnsi="Arial" w:cs="Arial"/>
        </w:rPr>
        <w:t xml:space="preserve">lender were used to visualize the mutation. A simple point mutation fixing the phenylalanine </w:t>
      </w:r>
      <w:r w:rsidR="00602716" w:rsidRPr="00570770">
        <w:rPr>
          <w:rFonts w:ascii="Arial" w:hAnsi="Arial" w:cs="Arial"/>
        </w:rPr>
        <w:t xml:space="preserve">back to a neutral leucine recovers the function of the protein. </w:t>
      </w:r>
    </w:p>
    <w:p w14:paraId="75394796" w14:textId="317C2F38" w:rsidR="004046C9" w:rsidRPr="00570770" w:rsidRDefault="004046C9">
      <w:pPr>
        <w:rPr>
          <w:rFonts w:ascii="Arial" w:hAnsi="Arial" w:cs="Arial"/>
        </w:rPr>
      </w:pPr>
    </w:p>
    <w:p w14:paraId="67A73344" w14:textId="77777777" w:rsidR="00032F4F" w:rsidRDefault="00032F4F" w:rsidP="00383D26">
      <w:pPr>
        <w:pStyle w:val="NormalWeb"/>
        <w:rPr>
          <w:rFonts w:ascii="Arial" w:hAnsi="Arial" w:cs="Arial"/>
          <w:b/>
          <w:bCs/>
        </w:rPr>
      </w:pPr>
    </w:p>
    <w:p w14:paraId="43AFD0B2" w14:textId="77777777" w:rsidR="00032F4F" w:rsidRDefault="00032F4F" w:rsidP="00383D26">
      <w:pPr>
        <w:pStyle w:val="NormalWeb"/>
        <w:rPr>
          <w:rFonts w:ascii="Arial" w:hAnsi="Arial" w:cs="Arial"/>
          <w:b/>
          <w:bCs/>
        </w:rPr>
      </w:pPr>
    </w:p>
    <w:p w14:paraId="2464C1D7" w14:textId="1466B80F" w:rsidR="00383D26" w:rsidRPr="00CC461F" w:rsidRDefault="00383D26" w:rsidP="00383D26">
      <w:pPr>
        <w:pStyle w:val="NormalWeb"/>
        <w:rPr>
          <w:rFonts w:ascii="Arial" w:hAnsi="Arial" w:cs="Arial"/>
          <w:b/>
          <w:bCs/>
        </w:rPr>
      </w:pPr>
      <w:r>
        <w:rPr>
          <w:rFonts w:ascii="Arial" w:hAnsi="Arial" w:cs="Arial"/>
          <w:b/>
          <w:bCs/>
        </w:rPr>
        <w:lastRenderedPageBreak/>
        <w:t xml:space="preserve">Relevant </w:t>
      </w:r>
      <w:r w:rsidRPr="00CC461F">
        <w:rPr>
          <w:rFonts w:ascii="Arial" w:hAnsi="Arial" w:cs="Arial"/>
          <w:b/>
          <w:bCs/>
        </w:rPr>
        <w:t>Resources</w:t>
      </w:r>
    </w:p>
    <w:p w14:paraId="486D2893" w14:textId="77777777" w:rsidR="00383D26" w:rsidRPr="00CC461F" w:rsidRDefault="00383D26" w:rsidP="00383D26">
      <w:pPr>
        <w:pStyle w:val="NormalWeb"/>
        <w:rPr>
          <w:rFonts w:ascii="Arial" w:hAnsi="Arial" w:cs="Arial"/>
        </w:rPr>
      </w:pPr>
      <w:proofErr w:type="spellStart"/>
      <w:r w:rsidRPr="00CC461F">
        <w:rPr>
          <w:rFonts w:ascii="Arial" w:hAnsi="Arial" w:cs="Arial"/>
        </w:rPr>
        <w:t>LasI</w:t>
      </w:r>
      <w:proofErr w:type="spellEnd"/>
      <w:r w:rsidRPr="00CC461F">
        <w:rPr>
          <w:rFonts w:ascii="Arial" w:hAnsi="Arial" w:cs="Arial"/>
        </w:rPr>
        <w:t xml:space="preserve"> </w:t>
      </w:r>
      <w:proofErr w:type="spellStart"/>
      <w:r w:rsidRPr="00CC461F">
        <w:rPr>
          <w:rFonts w:ascii="Arial" w:hAnsi="Arial" w:cs="Arial"/>
        </w:rPr>
        <w:t>UniProt</w:t>
      </w:r>
      <w:proofErr w:type="spellEnd"/>
      <w:r w:rsidRPr="00CC461F">
        <w:rPr>
          <w:rFonts w:ascii="Arial" w:hAnsi="Arial" w:cs="Arial"/>
        </w:rPr>
        <w:t xml:space="preserve"> Entry – </w:t>
      </w:r>
    </w:p>
    <w:p w14:paraId="1EBA7695" w14:textId="77777777" w:rsidR="00383D26" w:rsidRPr="00CC461F" w:rsidRDefault="00000000" w:rsidP="00383D26">
      <w:pPr>
        <w:pStyle w:val="NormalWeb"/>
        <w:rPr>
          <w:rFonts w:ascii="Arial" w:hAnsi="Arial" w:cs="Arial"/>
        </w:rPr>
      </w:pPr>
      <w:hyperlink r:id="rId9" w:history="1">
        <w:r w:rsidR="00383D26" w:rsidRPr="00CC461F">
          <w:rPr>
            <w:rStyle w:val="Hyperlink"/>
            <w:rFonts w:ascii="Arial" w:hAnsi="Arial" w:cs="Arial"/>
          </w:rPr>
          <w:t>https://www.uniprot.org/uniprotkb/P33883/entry</w:t>
        </w:r>
      </w:hyperlink>
    </w:p>
    <w:p w14:paraId="7263EA2C" w14:textId="77777777" w:rsidR="00383D26" w:rsidRPr="00CC461F" w:rsidRDefault="00383D26" w:rsidP="00383D26">
      <w:pPr>
        <w:pStyle w:val="NormalWeb"/>
        <w:rPr>
          <w:rFonts w:ascii="Arial" w:hAnsi="Arial" w:cs="Arial"/>
        </w:rPr>
      </w:pPr>
      <w:proofErr w:type="spellStart"/>
      <w:r w:rsidRPr="00CC461F">
        <w:rPr>
          <w:rFonts w:ascii="Arial" w:hAnsi="Arial" w:cs="Arial"/>
        </w:rPr>
        <w:t>ChimeraX</w:t>
      </w:r>
      <w:proofErr w:type="spellEnd"/>
      <w:r w:rsidRPr="00CC461F">
        <w:rPr>
          <w:rFonts w:ascii="Arial" w:hAnsi="Arial" w:cs="Arial"/>
        </w:rPr>
        <w:t xml:space="preserve"> Download– </w:t>
      </w:r>
    </w:p>
    <w:p w14:paraId="7E1B9517" w14:textId="77777777" w:rsidR="00383D26" w:rsidRPr="00CC461F" w:rsidRDefault="00000000" w:rsidP="00383D26">
      <w:pPr>
        <w:pStyle w:val="NormalWeb"/>
        <w:rPr>
          <w:rFonts w:ascii="Arial" w:hAnsi="Arial" w:cs="Arial"/>
        </w:rPr>
      </w:pPr>
      <w:hyperlink r:id="rId10" w:history="1">
        <w:r w:rsidR="00383D26" w:rsidRPr="00CC461F">
          <w:rPr>
            <w:rStyle w:val="Hyperlink"/>
            <w:rFonts w:ascii="Arial" w:hAnsi="Arial" w:cs="Arial"/>
          </w:rPr>
          <w:t>https://www.cgl.ucsf.edu/chimerax/</w:t>
        </w:r>
      </w:hyperlink>
    </w:p>
    <w:p w14:paraId="03337DFC" w14:textId="77777777" w:rsidR="00383D26" w:rsidRPr="00CC461F" w:rsidRDefault="00383D26" w:rsidP="00383D26">
      <w:pPr>
        <w:pStyle w:val="NormalWeb"/>
        <w:rPr>
          <w:rFonts w:ascii="Arial" w:hAnsi="Arial" w:cs="Arial"/>
        </w:rPr>
      </w:pPr>
      <w:r w:rsidRPr="00CC461F">
        <w:rPr>
          <w:rFonts w:ascii="Arial" w:hAnsi="Arial" w:cs="Arial"/>
        </w:rPr>
        <w:t xml:space="preserve">Modeling mutations from existing structures in </w:t>
      </w:r>
      <w:proofErr w:type="spellStart"/>
      <w:r w:rsidRPr="00CC461F">
        <w:rPr>
          <w:rFonts w:ascii="Arial" w:hAnsi="Arial" w:cs="Arial"/>
        </w:rPr>
        <w:t>ChimeraX</w:t>
      </w:r>
      <w:proofErr w:type="spellEnd"/>
      <w:r w:rsidRPr="00CC461F">
        <w:rPr>
          <w:rFonts w:ascii="Arial" w:hAnsi="Arial" w:cs="Arial"/>
        </w:rPr>
        <w:t>-</w:t>
      </w:r>
    </w:p>
    <w:p w14:paraId="6974CBF1" w14:textId="77777777" w:rsidR="00383D26" w:rsidRPr="00CC461F" w:rsidRDefault="00383D26" w:rsidP="00383D26">
      <w:pPr>
        <w:pStyle w:val="NormalWeb"/>
        <w:rPr>
          <w:rFonts w:ascii="Arial" w:hAnsi="Arial" w:cs="Arial"/>
        </w:rPr>
      </w:pPr>
      <w:r w:rsidRPr="00CC461F">
        <w:rPr>
          <w:rFonts w:ascii="Arial" w:hAnsi="Arial" w:cs="Arial"/>
        </w:rPr>
        <w:t>https://www.cgl.ucsf.edu/chimerax/docs/user/commands/swapaa.html</w:t>
      </w:r>
    </w:p>
    <w:p w14:paraId="48F8FA76" w14:textId="77777777" w:rsidR="008F151C" w:rsidRDefault="008F151C" w:rsidP="008F151C">
      <w:pPr>
        <w:rPr>
          <w:rFonts w:ascii="Arial" w:hAnsi="Arial" w:cs="Arial"/>
        </w:rPr>
      </w:pPr>
    </w:p>
    <w:p w14:paraId="684E73C7" w14:textId="77777777" w:rsidR="008474FC" w:rsidRDefault="008474FC">
      <w:pPr>
        <w:rPr>
          <w:rFonts w:ascii="Arial" w:hAnsi="Arial" w:cs="Arial"/>
          <w:b/>
          <w:bCs/>
        </w:rPr>
      </w:pPr>
      <w:r>
        <w:rPr>
          <w:rFonts w:ascii="Arial" w:hAnsi="Arial" w:cs="Arial"/>
          <w:b/>
          <w:bCs/>
        </w:rPr>
        <w:br w:type="page"/>
      </w:r>
    </w:p>
    <w:p w14:paraId="12AD577D" w14:textId="547A063F" w:rsidR="008F151C" w:rsidRPr="00AB4245" w:rsidRDefault="008F151C" w:rsidP="008F151C">
      <w:pPr>
        <w:rPr>
          <w:rFonts w:ascii="Arial" w:hAnsi="Arial" w:cs="Arial"/>
        </w:rPr>
      </w:pPr>
      <w:r>
        <w:rPr>
          <w:rFonts w:ascii="Arial" w:hAnsi="Arial" w:cs="Arial"/>
          <w:b/>
          <w:bCs/>
        </w:rPr>
        <w:lastRenderedPageBreak/>
        <w:t xml:space="preserve">Table 1. </w:t>
      </w:r>
      <w:r>
        <w:rPr>
          <w:rFonts w:ascii="Arial" w:hAnsi="Arial" w:cs="Arial"/>
        </w:rPr>
        <w:t>Additional information known by the leader that can be provided upon request</w:t>
      </w:r>
    </w:p>
    <w:tbl>
      <w:tblPr>
        <w:tblStyle w:val="TableGrid"/>
        <w:tblW w:w="0" w:type="auto"/>
        <w:tblLook w:val="04A0" w:firstRow="1" w:lastRow="0" w:firstColumn="1" w:lastColumn="0" w:noHBand="0" w:noVBand="1"/>
      </w:tblPr>
      <w:tblGrid>
        <w:gridCol w:w="2335"/>
        <w:gridCol w:w="7015"/>
      </w:tblGrid>
      <w:tr w:rsidR="008F151C" w14:paraId="53CAF06A" w14:textId="77777777" w:rsidTr="00CA7CA4">
        <w:tc>
          <w:tcPr>
            <w:tcW w:w="9350" w:type="dxa"/>
            <w:gridSpan w:val="2"/>
            <w:shd w:val="clear" w:color="auto" w:fill="D0CECE" w:themeFill="background2" w:themeFillShade="E6"/>
          </w:tcPr>
          <w:p w14:paraId="1F0208FD" w14:textId="77777777" w:rsidR="008F151C" w:rsidRDefault="008F151C" w:rsidP="00CA7CA4">
            <w:pPr>
              <w:jc w:val="center"/>
              <w:rPr>
                <w:rFonts w:ascii="Arial" w:hAnsi="Arial" w:cs="Arial"/>
                <w:b/>
                <w:bCs/>
              </w:rPr>
            </w:pPr>
            <w:r>
              <w:rPr>
                <w:rFonts w:ascii="Arial" w:hAnsi="Arial" w:cs="Arial"/>
                <w:b/>
                <w:bCs/>
              </w:rPr>
              <w:t>Meeting Notes for the Leader</w:t>
            </w:r>
          </w:p>
          <w:p w14:paraId="2C1F9CB1" w14:textId="77777777" w:rsidR="008F151C" w:rsidRPr="005C7D54" w:rsidRDefault="008F151C" w:rsidP="00CA7CA4">
            <w:pPr>
              <w:jc w:val="center"/>
              <w:rPr>
                <w:rFonts w:ascii="Arial" w:hAnsi="Arial" w:cs="Arial"/>
              </w:rPr>
            </w:pPr>
            <w:r>
              <w:rPr>
                <w:rFonts w:ascii="Arial" w:hAnsi="Arial" w:cs="Arial"/>
              </w:rPr>
              <w:t>Not to be shared with the group</w:t>
            </w:r>
          </w:p>
        </w:tc>
      </w:tr>
      <w:tr w:rsidR="008F151C" w14:paraId="6F3ABE9C" w14:textId="77777777" w:rsidTr="00CA7CA4">
        <w:tc>
          <w:tcPr>
            <w:tcW w:w="2335" w:type="dxa"/>
          </w:tcPr>
          <w:p w14:paraId="2B76029A" w14:textId="77777777" w:rsidR="008F151C" w:rsidRDefault="008F151C" w:rsidP="00CA7CA4">
            <w:pPr>
              <w:rPr>
                <w:rFonts w:ascii="Arial" w:hAnsi="Arial" w:cs="Arial"/>
              </w:rPr>
            </w:pPr>
            <w:r>
              <w:rPr>
                <w:rFonts w:ascii="Arial" w:hAnsi="Arial" w:cs="Arial"/>
              </w:rPr>
              <w:t xml:space="preserve">Other researcher’s experiments </w:t>
            </w:r>
          </w:p>
        </w:tc>
        <w:tc>
          <w:tcPr>
            <w:tcW w:w="7015" w:type="dxa"/>
          </w:tcPr>
          <w:p w14:paraId="2E8C17F4" w14:textId="451757DC" w:rsidR="008F151C" w:rsidRDefault="00525EB8" w:rsidP="008F151C">
            <w:pPr>
              <w:pStyle w:val="ListParagraph"/>
              <w:numPr>
                <w:ilvl w:val="0"/>
                <w:numId w:val="4"/>
              </w:numPr>
              <w:rPr>
                <w:rFonts w:ascii="Arial" w:hAnsi="Arial" w:cs="Arial"/>
              </w:rPr>
            </w:pPr>
            <w:r>
              <w:rPr>
                <w:rFonts w:ascii="Arial" w:hAnsi="Arial" w:cs="Arial"/>
              </w:rPr>
              <w:t>One researcher is working on plasmid construction (PCR, DNA extraction, agarose gels, Golden Gate assembly, etc.)</w:t>
            </w:r>
          </w:p>
          <w:p w14:paraId="6B224049" w14:textId="77777777" w:rsidR="00525EB8" w:rsidRDefault="00525EB8" w:rsidP="008F151C">
            <w:pPr>
              <w:pStyle w:val="ListParagraph"/>
              <w:numPr>
                <w:ilvl w:val="0"/>
                <w:numId w:val="4"/>
              </w:numPr>
              <w:rPr>
                <w:rFonts w:ascii="Arial" w:hAnsi="Arial" w:cs="Arial"/>
              </w:rPr>
            </w:pPr>
            <w:r>
              <w:rPr>
                <w:rFonts w:ascii="Arial" w:hAnsi="Arial" w:cs="Arial"/>
              </w:rPr>
              <w:t xml:space="preserve">Another researcher is synthesizing </w:t>
            </w:r>
            <w:proofErr w:type="spellStart"/>
            <w:r>
              <w:rPr>
                <w:rFonts w:ascii="Arial" w:hAnsi="Arial" w:cs="Arial"/>
              </w:rPr>
              <w:t>methacrylated</w:t>
            </w:r>
            <w:proofErr w:type="spellEnd"/>
            <w:r>
              <w:rPr>
                <w:rFonts w:ascii="Arial" w:hAnsi="Arial" w:cs="Arial"/>
              </w:rPr>
              <w:t xml:space="preserve"> agarose in the fume hood across the lab</w:t>
            </w:r>
          </w:p>
          <w:p w14:paraId="4DEBEEF3" w14:textId="08A326EF" w:rsidR="00525EB8" w:rsidRPr="00AB4245" w:rsidRDefault="00525EB8" w:rsidP="008F151C">
            <w:pPr>
              <w:pStyle w:val="ListParagraph"/>
              <w:numPr>
                <w:ilvl w:val="0"/>
                <w:numId w:val="4"/>
              </w:numPr>
              <w:rPr>
                <w:rFonts w:ascii="Arial" w:hAnsi="Arial" w:cs="Arial"/>
              </w:rPr>
            </w:pPr>
            <w:r>
              <w:rPr>
                <w:rFonts w:ascii="Arial" w:hAnsi="Arial" w:cs="Arial"/>
              </w:rPr>
              <w:t xml:space="preserve">A third researcher is teaching their undergraduate mentee how to perform </w:t>
            </w:r>
            <w:r w:rsidR="00472C84">
              <w:rPr>
                <w:rFonts w:ascii="Arial" w:hAnsi="Arial" w:cs="Arial"/>
              </w:rPr>
              <w:t xml:space="preserve">colony forming units </w:t>
            </w:r>
            <w:r>
              <w:rPr>
                <w:rFonts w:ascii="Arial" w:hAnsi="Arial" w:cs="Arial"/>
              </w:rPr>
              <w:t>counts</w:t>
            </w:r>
          </w:p>
        </w:tc>
      </w:tr>
      <w:tr w:rsidR="008F151C" w14:paraId="145C99A6" w14:textId="77777777" w:rsidTr="00CA7CA4">
        <w:tc>
          <w:tcPr>
            <w:tcW w:w="2335" w:type="dxa"/>
          </w:tcPr>
          <w:p w14:paraId="3BAF5AD0" w14:textId="77777777" w:rsidR="008F151C" w:rsidRDefault="008F151C" w:rsidP="00CA7CA4">
            <w:pPr>
              <w:rPr>
                <w:rFonts w:ascii="Arial" w:hAnsi="Arial" w:cs="Arial"/>
              </w:rPr>
            </w:pPr>
            <w:r>
              <w:rPr>
                <w:rFonts w:ascii="Arial" w:hAnsi="Arial" w:cs="Arial"/>
              </w:rPr>
              <w:t>Storage information</w:t>
            </w:r>
          </w:p>
        </w:tc>
        <w:tc>
          <w:tcPr>
            <w:tcW w:w="7015" w:type="dxa"/>
          </w:tcPr>
          <w:p w14:paraId="2B05E9C3" w14:textId="77777777" w:rsidR="008F151C" w:rsidRDefault="00525EB8" w:rsidP="008F151C">
            <w:pPr>
              <w:pStyle w:val="ListParagraph"/>
              <w:numPr>
                <w:ilvl w:val="0"/>
                <w:numId w:val="5"/>
              </w:numPr>
              <w:rPr>
                <w:rFonts w:ascii="Arial" w:hAnsi="Arial" w:cs="Arial"/>
              </w:rPr>
            </w:pPr>
            <w:r>
              <w:rPr>
                <w:rFonts w:ascii="Arial" w:hAnsi="Arial" w:cs="Arial"/>
              </w:rPr>
              <w:t>All stocks were freshly prepared under flame in autoclaved containers and stored at 4°C after filter sterilization</w:t>
            </w:r>
          </w:p>
          <w:p w14:paraId="20B3F976" w14:textId="77777777" w:rsidR="00525EB8" w:rsidRDefault="00525EB8" w:rsidP="008F151C">
            <w:pPr>
              <w:pStyle w:val="ListParagraph"/>
              <w:numPr>
                <w:ilvl w:val="0"/>
                <w:numId w:val="5"/>
              </w:numPr>
              <w:rPr>
                <w:rFonts w:ascii="Arial" w:hAnsi="Arial" w:cs="Arial"/>
              </w:rPr>
            </w:pPr>
            <w:r>
              <w:rPr>
                <w:rFonts w:ascii="Arial" w:hAnsi="Arial" w:cs="Arial"/>
              </w:rPr>
              <w:t>OC12 stock was stored at -20°C</w:t>
            </w:r>
          </w:p>
          <w:p w14:paraId="1D27A11D" w14:textId="1239AD91" w:rsidR="00525EB8" w:rsidRPr="00AB4245" w:rsidRDefault="00525EB8" w:rsidP="008F151C">
            <w:pPr>
              <w:pStyle w:val="ListParagraph"/>
              <w:numPr>
                <w:ilvl w:val="0"/>
                <w:numId w:val="5"/>
              </w:numPr>
              <w:rPr>
                <w:rFonts w:ascii="Arial" w:hAnsi="Arial" w:cs="Arial"/>
              </w:rPr>
            </w:pPr>
            <w:r>
              <w:rPr>
                <w:rFonts w:ascii="Arial" w:hAnsi="Arial" w:cs="Arial"/>
              </w:rPr>
              <w:t>Minimal media agarose plates were freshly poured before every experiment</w:t>
            </w:r>
          </w:p>
        </w:tc>
      </w:tr>
      <w:tr w:rsidR="008F151C" w14:paraId="245B2311" w14:textId="77777777" w:rsidTr="00CA7CA4">
        <w:tc>
          <w:tcPr>
            <w:tcW w:w="2335" w:type="dxa"/>
          </w:tcPr>
          <w:p w14:paraId="3F7F2D0D" w14:textId="6F117408" w:rsidR="008F151C" w:rsidRDefault="008F151C" w:rsidP="00CA7CA4">
            <w:pPr>
              <w:rPr>
                <w:rFonts w:ascii="Arial" w:hAnsi="Arial" w:cs="Arial"/>
              </w:rPr>
            </w:pPr>
            <w:r>
              <w:rPr>
                <w:rFonts w:ascii="Arial" w:hAnsi="Arial" w:cs="Arial"/>
              </w:rPr>
              <w:t>Construct information</w:t>
            </w:r>
          </w:p>
        </w:tc>
        <w:tc>
          <w:tcPr>
            <w:tcW w:w="7015" w:type="dxa"/>
          </w:tcPr>
          <w:p w14:paraId="55B28F9D" w14:textId="1309061E" w:rsidR="008F151C" w:rsidRDefault="00525EB8" w:rsidP="008F151C">
            <w:pPr>
              <w:pStyle w:val="ListParagraph"/>
              <w:numPr>
                <w:ilvl w:val="0"/>
                <w:numId w:val="5"/>
              </w:numPr>
              <w:rPr>
                <w:rFonts w:ascii="Arial" w:hAnsi="Arial" w:cs="Arial"/>
              </w:rPr>
            </w:pPr>
            <w:r>
              <w:rPr>
                <w:rFonts w:ascii="Arial" w:hAnsi="Arial" w:cs="Arial"/>
              </w:rPr>
              <w:t xml:space="preserve">The sender construct contains a ColE1 origin of replication, kanamycin resistance, constitutively expressed </w:t>
            </w:r>
            <w:proofErr w:type="spellStart"/>
            <w:r>
              <w:rPr>
                <w:rFonts w:ascii="Arial" w:hAnsi="Arial" w:cs="Arial"/>
              </w:rPr>
              <w:t>LacI</w:t>
            </w:r>
            <w:proofErr w:type="spellEnd"/>
            <w:r>
              <w:rPr>
                <w:rFonts w:ascii="Arial" w:hAnsi="Arial" w:cs="Arial"/>
              </w:rPr>
              <w:t xml:space="preserve">, and the </w:t>
            </w:r>
            <w:proofErr w:type="spellStart"/>
            <w:r>
              <w:rPr>
                <w:rFonts w:ascii="Arial" w:hAnsi="Arial" w:cs="Arial"/>
              </w:rPr>
              <w:t>LasI</w:t>
            </w:r>
            <w:proofErr w:type="spellEnd"/>
            <w:r>
              <w:rPr>
                <w:rFonts w:ascii="Arial" w:hAnsi="Arial" w:cs="Arial"/>
              </w:rPr>
              <w:t xml:space="preserve"> (OC12 AHL synthase) gene under the inducible </w:t>
            </w:r>
            <w:proofErr w:type="spellStart"/>
            <w:r>
              <w:rPr>
                <w:rFonts w:ascii="Arial" w:hAnsi="Arial" w:cs="Arial"/>
              </w:rPr>
              <w:t>pTac</w:t>
            </w:r>
            <w:proofErr w:type="spellEnd"/>
            <w:r>
              <w:rPr>
                <w:rFonts w:ascii="Arial" w:hAnsi="Arial" w:cs="Arial"/>
              </w:rPr>
              <w:t xml:space="preserve"> promoter [</w:t>
            </w:r>
            <w:r>
              <w:rPr>
                <w:rFonts w:ascii="Arial" w:hAnsi="Arial" w:cs="Arial"/>
                <w:b/>
                <w:bCs/>
              </w:rPr>
              <w:t>IPTG → OC12</w:t>
            </w:r>
            <w:r>
              <w:rPr>
                <w:rFonts w:ascii="Arial" w:hAnsi="Arial" w:cs="Arial"/>
              </w:rPr>
              <w:t>]</w:t>
            </w:r>
          </w:p>
          <w:p w14:paraId="74ACCDAC" w14:textId="50E24128" w:rsidR="00525EB8" w:rsidRPr="00525EB8" w:rsidRDefault="00525EB8" w:rsidP="00525EB8">
            <w:pPr>
              <w:pStyle w:val="ListParagraph"/>
              <w:numPr>
                <w:ilvl w:val="0"/>
                <w:numId w:val="5"/>
              </w:numPr>
              <w:rPr>
                <w:rFonts w:ascii="Arial" w:hAnsi="Arial" w:cs="Arial"/>
              </w:rPr>
            </w:pPr>
            <w:r>
              <w:rPr>
                <w:rFonts w:ascii="Arial" w:hAnsi="Arial" w:cs="Arial"/>
              </w:rPr>
              <w:t xml:space="preserve">The receiver construct contains a ColE1 origin of replication, kanamycin resistance, constitutively expressed </w:t>
            </w:r>
            <w:proofErr w:type="spellStart"/>
            <w:r>
              <w:rPr>
                <w:rFonts w:ascii="Arial" w:hAnsi="Arial" w:cs="Arial"/>
              </w:rPr>
              <w:t>LuxR</w:t>
            </w:r>
            <w:proofErr w:type="spellEnd"/>
            <w:r>
              <w:rPr>
                <w:rFonts w:ascii="Arial" w:hAnsi="Arial" w:cs="Arial"/>
              </w:rPr>
              <w:t xml:space="preserve">, and the </w:t>
            </w:r>
            <w:proofErr w:type="spellStart"/>
            <w:r>
              <w:rPr>
                <w:rFonts w:ascii="Arial" w:hAnsi="Arial" w:cs="Arial"/>
              </w:rPr>
              <w:t>gfp</w:t>
            </w:r>
            <w:proofErr w:type="spellEnd"/>
            <w:r>
              <w:rPr>
                <w:rFonts w:ascii="Arial" w:hAnsi="Arial" w:cs="Arial"/>
              </w:rPr>
              <w:t xml:space="preserve"> (fluorescent protein) gene under the inducible </w:t>
            </w:r>
            <w:proofErr w:type="spellStart"/>
            <w:r>
              <w:rPr>
                <w:rFonts w:ascii="Arial" w:hAnsi="Arial" w:cs="Arial"/>
              </w:rPr>
              <w:t>pLux</w:t>
            </w:r>
            <w:proofErr w:type="spellEnd"/>
            <w:r>
              <w:rPr>
                <w:rFonts w:ascii="Arial" w:hAnsi="Arial" w:cs="Arial"/>
              </w:rPr>
              <w:t xml:space="preserve"> promoter [</w:t>
            </w:r>
            <w:r>
              <w:rPr>
                <w:rFonts w:ascii="Arial" w:hAnsi="Arial" w:cs="Arial"/>
                <w:b/>
                <w:bCs/>
              </w:rPr>
              <w:t>OC12 → Fluorescence</w:t>
            </w:r>
            <w:r>
              <w:rPr>
                <w:rFonts w:ascii="Arial" w:hAnsi="Arial" w:cs="Arial"/>
              </w:rPr>
              <w:t>]</w:t>
            </w:r>
          </w:p>
        </w:tc>
      </w:tr>
      <w:tr w:rsidR="008F151C" w14:paraId="162DB679" w14:textId="77777777" w:rsidTr="00CA7CA4">
        <w:tc>
          <w:tcPr>
            <w:tcW w:w="2335" w:type="dxa"/>
          </w:tcPr>
          <w:p w14:paraId="575D0616" w14:textId="77777777" w:rsidR="008F151C" w:rsidRDefault="008F151C" w:rsidP="00CA7CA4">
            <w:pPr>
              <w:rPr>
                <w:rFonts w:ascii="Arial" w:hAnsi="Arial" w:cs="Arial"/>
              </w:rPr>
            </w:pPr>
            <w:r>
              <w:rPr>
                <w:rFonts w:ascii="Arial" w:hAnsi="Arial" w:cs="Arial"/>
              </w:rPr>
              <w:t>Source of error</w:t>
            </w:r>
          </w:p>
        </w:tc>
        <w:tc>
          <w:tcPr>
            <w:tcW w:w="7015" w:type="dxa"/>
          </w:tcPr>
          <w:p w14:paraId="26BF5BB3" w14:textId="1FA0DED4" w:rsidR="008F151C" w:rsidRPr="00AB4245" w:rsidRDefault="00525EB8" w:rsidP="008F151C">
            <w:pPr>
              <w:pStyle w:val="ListParagraph"/>
              <w:numPr>
                <w:ilvl w:val="0"/>
                <w:numId w:val="6"/>
              </w:numPr>
              <w:rPr>
                <w:rFonts w:ascii="Arial" w:hAnsi="Arial" w:cs="Arial"/>
              </w:rPr>
            </w:pPr>
            <w:r>
              <w:rPr>
                <w:rFonts w:ascii="Arial" w:hAnsi="Arial" w:cs="Arial"/>
              </w:rPr>
              <w:t xml:space="preserve">Point mutation introduced during </w:t>
            </w:r>
            <w:proofErr w:type="spellStart"/>
            <w:r>
              <w:rPr>
                <w:rFonts w:ascii="Arial" w:hAnsi="Arial" w:cs="Arial"/>
              </w:rPr>
              <w:t>LasI</w:t>
            </w:r>
            <w:proofErr w:type="spellEnd"/>
            <w:r>
              <w:rPr>
                <w:rFonts w:ascii="Arial" w:hAnsi="Arial" w:cs="Arial"/>
              </w:rPr>
              <w:t xml:space="preserve"> gene amplification for sender construct assembly disrupts a system of </w:t>
            </w:r>
            <w:r w:rsidR="00032F4F">
              <w:rPr>
                <w:rFonts w:ascii="Arial" w:hAnsi="Arial" w:cs="Arial"/>
              </w:rPr>
              <w:t xml:space="preserve">electrostatic interactions necessary for OC12 AHL synthesis. In short, the sender plasmid is expressing the </w:t>
            </w:r>
            <w:proofErr w:type="spellStart"/>
            <w:r w:rsidR="00032F4F">
              <w:rPr>
                <w:rFonts w:ascii="Arial" w:hAnsi="Arial" w:cs="Arial"/>
              </w:rPr>
              <w:t>LasI</w:t>
            </w:r>
            <w:proofErr w:type="spellEnd"/>
            <w:r w:rsidR="00032F4F">
              <w:rPr>
                <w:rFonts w:ascii="Arial" w:hAnsi="Arial" w:cs="Arial"/>
              </w:rPr>
              <w:t xml:space="preserve"> protein, but the protein is inactive and unable to produce the signal to turn on fluorescence in the receiver cells. </w:t>
            </w:r>
          </w:p>
        </w:tc>
      </w:tr>
      <w:tr w:rsidR="008F151C" w14:paraId="1C11908B" w14:textId="77777777" w:rsidTr="00CA7CA4">
        <w:tc>
          <w:tcPr>
            <w:tcW w:w="2335" w:type="dxa"/>
          </w:tcPr>
          <w:p w14:paraId="72BE0EA1" w14:textId="77777777" w:rsidR="008F151C" w:rsidRDefault="008F151C" w:rsidP="00CA7CA4">
            <w:pPr>
              <w:rPr>
                <w:rFonts w:ascii="Arial" w:hAnsi="Arial" w:cs="Arial"/>
              </w:rPr>
            </w:pPr>
            <w:r>
              <w:rPr>
                <w:rFonts w:ascii="Arial" w:hAnsi="Arial" w:cs="Arial"/>
              </w:rPr>
              <w:t>Hints for group</w:t>
            </w:r>
          </w:p>
        </w:tc>
        <w:tc>
          <w:tcPr>
            <w:tcW w:w="7015" w:type="dxa"/>
          </w:tcPr>
          <w:p w14:paraId="7EE1CFA6" w14:textId="77777777" w:rsidR="008F151C" w:rsidRDefault="00032F4F" w:rsidP="008F151C">
            <w:pPr>
              <w:pStyle w:val="ListParagraph"/>
              <w:numPr>
                <w:ilvl w:val="0"/>
                <w:numId w:val="6"/>
              </w:numPr>
              <w:rPr>
                <w:rFonts w:ascii="Arial" w:hAnsi="Arial" w:cs="Arial"/>
              </w:rPr>
            </w:pPr>
            <w:r>
              <w:rPr>
                <w:rFonts w:ascii="Arial" w:hAnsi="Arial" w:cs="Arial"/>
              </w:rPr>
              <w:t>You have access to the expected sequence and sequencing results</w:t>
            </w:r>
          </w:p>
          <w:p w14:paraId="47FF1A61" w14:textId="6EE788A7" w:rsidR="00032F4F" w:rsidRDefault="00032F4F" w:rsidP="008F151C">
            <w:pPr>
              <w:pStyle w:val="ListParagraph"/>
              <w:numPr>
                <w:ilvl w:val="0"/>
                <w:numId w:val="6"/>
              </w:numPr>
              <w:rPr>
                <w:rFonts w:ascii="Arial" w:hAnsi="Arial" w:cs="Arial"/>
              </w:rPr>
            </w:pPr>
            <w:r>
              <w:rPr>
                <w:rFonts w:ascii="Arial" w:hAnsi="Arial" w:cs="Arial"/>
              </w:rPr>
              <w:t>You have chemically</w:t>
            </w:r>
            <w:r w:rsidR="00382D8F">
              <w:rPr>
                <w:rFonts w:ascii="Arial" w:hAnsi="Arial" w:cs="Arial"/>
              </w:rPr>
              <w:t xml:space="preserve"> </w:t>
            </w:r>
            <w:r>
              <w:rPr>
                <w:rFonts w:ascii="Arial" w:hAnsi="Arial" w:cs="Arial"/>
              </w:rPr>
              <w:t>synthesized OC12 (receiver cell inducer) stocks available</w:t>
            </w:r>
          </w:p>
          <w:p w14:paraId="7FC74E3E" w14:textId="2B2C092C" w:rsidR="00032F4F" w:rsidRPr="005C7D54" w:rsidRDefault="00032F4F" w:rsidP="008F151C">
            <w:pPr>
              <w:pStyle w:val="ListParagraph"/>
              <w:numPr>
                <w:ilvl w:val="0"/>
                <w:numId w:val="6"/>
              </w:numPr>
              <w:rPr>
                <w:rFonts w:ascii="Arial" w:hAnsi="Arial" w:cs="Arial"/>
              </w:rPr>
            </w:pPr>
            <w:proofErr w:type="spellStart"/>
            <w:r>
              <w:rPr>
                <w:rFonts w:ascii="Arial" w:hAnsi="Arial" w:cs="Arial"/>
              </w:rPr>
              <w:t>LasI</w:t>
            </w:r>
            <w:proofErr w:type="spellEnd"/>
            <w:r>
              <w:rPr>
                <w:rFonts w:ascii="Arial" w:hAnsi="Arial" w:cs="Arial"/>
              </w:rPr>
              <w:t xml:space="preserve"> has a </w:t>
            </w:r>
            <w:proofErr w:type="spellStart"/>
            <w:r>
              <w:rPr>
                <w:rFonts w:ascii="Arial" w:hAnsi="Arial" w:cs="Arial"/>
              </w:rPr>
              <w:t>HisTag</w:t>
            </w:r>
            <w:proofErr w:type="spellEnd"/>
          </w:p>
        </w:tc>
      </w:tr>
    </w:tbl>
    <w:p w14:paraId="68E2ED40" w14:textId="77777777" w:rsidR="008F151C" w:rsidRPr="00AE0AEC" w:rsidRDefault="008F151C" w:rsidP="008F151C">
      <w:pPr>
        <w:rPr>
          <w:rFonts w:ascii="Arial" w:hAnsi="Arial" w:cs="Arial"/>
        </w:rPr>
      </w:pPr>
    </w:p>
    <w:p w14:paraId="486BF0EB" w14:textId="77777777" w:rsidR="004046C9" w:rsidRPr="00570770" w:rsidRDefault="004046C9">
      <w:pPr>
        <w:rPr>
          <w:rFonts w:ascii="Arial" w:hAnsi="Arial" w:cs="Arial"/>
          <w:b/>
          <w:bCs/>
        </w:rPr>
      </w:pPr>
    </w:p>
    <w:p w14:paraId="10F2D549" w14:textId="5101E5FD" w:rsidR="004046C9" w:rsidRPr="00570770" w:rsidRDefault="004046C9">
      <w:pPr>
        <w:rPr>
          <w:rFonts w:ascii="Arial" w:hAnsi="Arial" w:cs="Arial"/>
        </w:rPr>
      </w:pPr>
      <w:r w:rsidRPr="00570770">
        <w:rPr>
          <w:rFonts w:ascii="Arial" w:hAnsi="Arial" w:cs="Arial"/>
          <w:b/>
          <w:bCs/>
        </w:rPr>
        <w:t>Works Cited</w:t>
      </w:r>
    </w:p>
    <w:p w14:paraId="4B118B69" w14:textId="11D9A44A" w:rsidR="004046C9" w:rsidRPr="00570770" w:rsidRDefault="004046C9" w:rsidP="004046C9">
      <w:pPr>
        <w:pStyle w:val="NormalWeb"/>
        <w:numPr>
          <w:ilvl w:val="0"/>
          <w:numId w:val="3"/>
        </w:numPr>
        <w:rPr>
          <w:rFonts w:ascii="Arial" w:hAnsi="Arial" w:cs="Arial"/>
        </w:rPr>
      </w:pPr>
      <w:r w:rsidRPr="00570770">
        <w:rPr>
          <w:rFonts w:ascii="Arial" w:hAnsi="Arial" w:cs="Arial"/>
        </w:rPr>
        <w:t xml:space="preserve">Gould, T. A., Schweizer, H. P., &amp; Churchill, M. E. (2004). Structure of the </w:t>
      </w:r>
      <w:r w:rsidRPr="00570770">
        <w:rPr>
          <w:rFonts w:ascii="Arial" w:hAnsi="Arial" w:cs="Arial"/>
          <w:i/>
          <w:iCs/>
        </w:rPr>
        <w:t>Pseudomonas aeruginosa</w:t>
      </w:r>
      <w:r w:rsidRPr="00570770">
        <w:rPr>
          <w:rFonts w:ascii="Arial" w:hAnsi="Arial" w:cs="Arial"/>
        </w:rPr>
        <w:t xml:space="preserve"> acyl</w:t>
      </w:r>
      <w:r w:rsidRPr="00570770">
        <w:rPr>
          <w:rFonts w:ascii="Cambria Math" w:hAnsi="Cambria Math" w:cs="Cambria Math"/>
        </w:rPr>
        <w:t>‐</w:t>
      </w:r>
      <w:r w:rsidRPr="00570770">
        <w:rPr>
          <w:rFonts w:ascii="Arial" w:hAnsi="Arial" w:cs="Arial"/>
        </w:rPr>
        <w:t xml:space="preserve">homoserine lactone synthase </w:t>
      </w:r>
      <w:proofErr w:type="spellStart"/>
      <w:r w:rsidRPr="00570770">
        <w:rPr>
          <w:rFonts w:ascii="Arial" w:hAnsi="Arial" w:cs="Arial"/>
        </w:rPr>
        <w:t>LasI</w:t>
      </w:r>
      <w:proofErr w:type="spellEnd"/>
      <w:r w:rsidRPr="00570770">
        <w:rPr>
          <w:rFonts w:ascii="Arial" w:hAnsi="Arial" w:cs="Arial"/>
        </w:rPr>
        <w:t xml:space="preserve">. </w:t>
      </w:r>
      <w:r w:rsidRPr="00570770">
        <w:rPr>
          <w:rFonts w:ascii="Arial" w:hAnsi="Arial" w:cs="Arial"/>
          <w:i/>
          <w:iCs/>
        </w:rPr>
        <w:t>Molecular Microbiology</w:t>
      </w:r>
      <w:r w:rsidRPr="00570770">
        <w:rPr>
          <w:rFonts w:ascii="Arial" w:hAnsi="Arial" w:cs="Arial"/>
        </w:rPr>
        <w:t xml:space="preserve">, </w:t>
      </w:r>
      <w:r w:rsidRPr="00570770">
        <w:rPr>
          <w:rFonts w:ascii="Arial" w:hAnsi="Arial" w:cs="Arial"/>
          <w:i/>
          <w:iCs/>
        </w:rPr>
        <w:t>53</w:t>
      </w:r>
      <w:r w:rsidRPr="00570770">
        <w:rPr>
          <w:rFonts w:ascii="Arial" w:hAnsi="Arial" w:cs="Arial"/>
        </w:rPr>
        <w:t xml:space="preserve">(4), 1135–1146. </w:t>
      </w:r>
    </w:p>
    <w:p w14:paraId="7B1E1C2C" w14:textId="6816E77D" w:rsidR="004046C9" w:rsidRDefault="004046C9" w:rsidP="004046C9">
      <w:pPr>
        <w:pStyle w:val="NormalWeb"/>
        <w:numPr>
          <w:ilvl w:val="0"/>
          <w:numId w:val="3"/>
        </w:numPr>
        <w:rPr>
          <w:rFonts w:ascii="Arial" w:hAnsi="Arial" w:cs="Arial"/>
        </w:rPr>
      </w:pPr>
      <w:r w:rsidRPr="00570770">
        <w:rPr>
          <w:rFonts w:ascii="Arial" w:hAnsi="Arial" w:cs="Arial"/>
        </w:rPr>
        <w:t xml:space="preserve">Grant, P. K., </w:t>
      </w:r>
      <w:proofErr w:type="spellStart"/>
      <w:r w:rsidRPr="00570770">
        <w:rPr>
          <w:rFonts w:ascii="Arial" w:hAnsi="Arial" w:cs="Arial"/>
        </w:rPr>
        <w:t>Dalchau</w:t>
      </w:r>
      <w:proofErr w:type="spellEnd"/>
      <w:r w:rsidRPr="00570770">
        <w:rPr>
          <w:rFonts w:ascii="Arial" w:hAnsi="Arial" w:cs="Arial"/>
        </w:rPr>
        <w:t xml:space="preserve">, N., Brown, J. R., Federici, F., Rudge, T. J., Yordanov, B., </w:t>
      </w:r>
      <w:proofErr w:type="spellStart"/>
      <w:r w:rsidRPr="00570770">
        <w:rPr>
          <w:rFonts w:ascii="Arial" w:hAnsi="Arial" w:cs="Arial"/>
        </w:rPr>
        <w:t>Patange</w:t>
      </w:r>
      <w:proofErr w:type="spellEnd"/>
      <w:r w:rsidRPr="00570770">
        <w:rPr>
          <w:rFonts w:ascii="Arial" w:hAnsi="Arial" w:cs="Arial"/>
        </w:rPr>
        <w:t xml:space="preserve">, O., Phillips, A., &amp; </w:t>
      </w:r>
      <w:proofErr w:type="spellStart"/>
      <w:r w:rsidRPr="00570770">
        <w:rPr>
          <w:rFonts w:ascii="Arial" w:hAnsi="Arial" w:cs="Arial"/>
        </w:rPr>
        <w:t>Haseloff</w:t>
      </w:r>
      <w:proofErr w:type="spellEnd"/>
      <w:r w:rsidRPr="00570770">
        <w:rPr>
          <w:rFonts w:ascii="Arial" w:hAnsi="Arial" w:cs="Arial"/>
        </w:rPr>
        <w:t xml:space="preserve">, J. (2016). Orthogonal intercellular signaling for programmed spatial behavior. </w:t>
      </w:r>
      <w:r w:rsidRPr="00570770">
        <w:rPr>
          <w:rFonts w:ascii="Arial" w:hAnsi="Arial" w:cs="Arial"/>
          <w:i/>
          <w:iCs/>
        </w:rPr>
        <w:t>Molecular Systems Biology</w:t>
      </w:r>
      <w:r w:rsidRPr="00570770">
        <w:rPr>
          <w:rFonts w:ascii="Arial" w:hAnsi="Arial" w:cs="Arial"/>
        </w:rPr>
        <w:t xml:space="preserve">, </w:t>
      </w:r>
      <w:r w:rsidRPr="00570770">
        <w:rPr>
          <w:rFonts w:ascii="Arial" w:hAnsi="Arial" w:cs="Arial"/>
          <w:i/>
          <w:iCs/>
        </w:rPr>
        <w:t>12</w:t>
      </w:r>
      <w:r w:rsidRPr="00570770">
        <w:rPr>
          <w:rFonts w:ascii="Arial" w:hAnsi="Arial" w:cs="Arial"/>
        </w:rPr>
        <w:t xml:space="preserve">(1). </w:t>
      </w:r>
    </w:p>
    <w:p w14:paraId="3CF203B9" w14:textId="501DA13F" w:rsidR="002A7BDC" w:rsidRPr="00570770" w:rsidRDefault="002A7BDC" w:rsidP="002C4FB5">
      <w:pPr>
        <w:pStyle w:val="NormalWeb"/>
        <w:numPr>
          <w:ilvl w:val="0"/>
          <w:numId w:val="3"/>
        </w:numPr>
        <w:rPr>
          <w:rFonts w:ascii="Arial" w:hAnsi="Arial" w:cs="Arial"/>
        </w:rPr>
      </w:pPr>
      <w:r w:rsidRPr="00032F4F">
        <w:rPr>
          <w:rStyle w:val="fal6plv"/>
          <w:rFonts w:ascii="Arial" w:hAnsi="Arial" w:cs="Arial"/>
          <w:color w:val="0E101A"/>
          <w:shd w:val="clear" w:color="auto" w:fill="FFFFFF"/>
        </w:rPr>
        <w:t xml:space="preserve">Surette, M. G., Miller, M. B., &amp; </w:t>
      </w:r>
      <w:proofErr w:type="spellStart"/>
      <w:r w:rsidRPr="00032F4F">
        <w:rPr>
          <w:rStyle w:val="fal6plv"/>
          <w:rFonts w:ascii="Arial" w:hAnsi="Arial" w:cs="Arial"/>
          <w:color w:val="0E101A"/>
          <w:shd w:val="clear" w:color="auto" w:fill="FFFFFF"/>
        </w:rPr>
        <w:t>Bassler</w:t>
      </w:r>
      <w:proofErr w:type="spellEnd"/>
      <w:r w:rsidRPr="00032F4F">
        <w:rPr>
          <w:rStyle w:val="fal6plv"/>
          <w:rFonts w:ascii="Arial" w:hAnsi="Arial" w:cs="Arial"/>
          <w:color w:val="0E101A"/>
          <w:shd w:val="clear" w:color="auto" w:fill="FFFFFF"/>
        </w:rPr>
        <w:t>, B. L.</w:t>
      </w:r>
      <w:r w:rsidRPr="00032F4F">
        <w:rPr>
          <w:rStyle w:val="fal6plv"/>
          <w:rFonts w:ascii="Arial" w:hAnsi="Arial" w:cs="Arial" w:hint="eastAsia"/>
          <w:color w:val="0E101A"/>
          <w:shd w:val="clear" w:color="auto" w:fill="FFFFFF"/>
        </w:rPr>
        <w:t> </w:t>
      </w:r>
      <w:r w:rsidRPr="00032F4F">
        <w:rPr>
          <w:rStyle w:val="fal6plv"/>
          <w:rFonts w:ascii="Arial" w:hAnsi="Arial" w:cs="Arial"/>
          <w:color w:val="0E101A"/>
          <w:shd w:val="clear" w:color="auto" w:fill="FFFFFF"/>
        </w:rPr>
        <w:t>(1999).</w:t>
      </w:r>
      <w:r w:rsidRPr="00032F4F">
        <w:rPr>
          <w:rStyle w:val="fal6plv"/>
          <w:rFonts w:ascii="Arial" w:hAnsi="Arial" w:cs="Arial" w:hint="eastAsia"/>
          <w:color w:val="0E101A"/>
          <w:shd w:val="clear" w:color="auto" w:fill="FFFFFF"/>
        </w:rPr>
        <w:t> </w:t>
      </w:r>
      <w:r w:rsidRPr="00032F4F">
        <w:rPr>
          <w:rStyle w:val="fal6plv"/>
          <w:rFonts w:ascii="Arial" w:hAnsi="Arial" w:cs="Arial"/>
          <w:color w:val="0E101A"/>
          <w:shd w:val="clear" w:color="auto" w:fill="FFFFFF"/>
        </w:rPr>
        <w:t xml:space="preserve">Quorum sensing in Escherichia coli, Salmonella typhimurium, and Vibrio </w:t>
      </w:r>
      <w:proofErr w:type="spellStart"/>
      <w:r w:rsidRPr="00032F4F">
        <w:rPr>
          <w:rStyle w:val="fal6plv"/>
          <w:rFonts w:ascii="Arial" w:hAnsi="Arial" w:cs="Arial"/>
          <w:color w:val="0E101A"/>
          <w:shd w:val="clear" w:color="auto" w:fill="FFFFFF"/>
        </w:rPr>
        <w:t>harveyi</w:t>
      </w:r>
      <w:proofErr w:type="spellEnd"/>
      <w:r w:rsidRPr="00032F4F">
        <w:rPr>
          <w:rStyle w:val="fal6plv"/>
          <w:rFonts w:ascii="Arial" w:hAnsi="Arial" w:cs="Arial"/>
          <w:color w:val="0E101A"/>
          <w:shd w:val="clear" w:color="auto" w:fill="FFFFFF"/>
        </w:rPr>
        <w:t xml:space="preserve">: A new family of </w:t>
      </w:r>
      <w:r w:rsidRPr="00032F4F">
        <w:rPr>
          <w:rStyle w:val="fal6plv"/>
          <w:rFonts w:ascii="Arial" w:hAnsi="Arial" w:cs="Arial"/>
          <w:color w:val="0E101A"/>
          <w:shd w:val="clear" w:color="auto" w:fill="FFFFFF"/>
        </w:rPr>
        <w:lastRenderedPageBreak/>
        <w:t>genes responsible for autoinducer production.</w:t>
      </w:r>
      <w:r w:rsidRPr="00032F4F">
        <w:rPr>
          <w:rStyle w:val="fal6plv"/>
          <w:rFonts w:ascii="Arial" w:hAnsi="Arial" w:cs="Arial" w:hint="eastAsia"/>
          <w:color w:val="0E101A"/>
          <w:shd w:val="clear" w:color="auto" w:fill="FFFFFF"/>
        </w:rPr>
        <w:t> </w:t>
      </w:r>
      <w:r w:rsidRPr="00032F4F">
        <w:rPr>
          <w:rStyle w:val="fal6plv"/>
          <w:rFonts w:ascii="Arial" w:hAnsi="Arial" w:cs="Arial"/>
          <w:i/>
          <w:iCs/>
          <w:color w:val="0E101A"/>
          <w:shd w:val="clear" w:color="auto" w:fill="FFFFFF"/>
        </w:rPr>
        <w:t>Proceedings of the National Academy of Sciences of the United States of America</w:t>
      </w:r>
      <w:r w:rsidRPr="00032F4F">
        <w:rPr>
          <w:rStyle w:val="fal6plv"/>
          <w:rFonts w:ascii="Arial" w:hAnsi="Arial" w:cs="Arial"/>
          <w:color w:val="0E101A"/>
          <w:shd w:val="clear" w:color="auto" w:fill="FFFFFF"/>
        </w:rPr>
        <w:t>,</w:t>
      </w:r>
      <w:r w:rsidRPr="00032F4F">
        <w:rPr>
          <w:rStyle w:val="fal6plv"/>
          <w:rFonts w:ascii="Arial" w:hAnsi="Arial" w:cs="Arial" w:hint="eastAsia"/>
          <w:color w:val="0E101A"/>
          <w:shd w:val="clear" w:color="auto" w:fill="FFFFFF"/>
        </w:rPr>
        <w:t> </w:t>
      </w:r>
      <w:r w:rsidRPr="00032F4F">
        <w:rPr>
          <w:rStyle w:val="fal6plv"/>
          <w:rFonts w:ascii="Arial" w:hAnsi="Arial" w:cs="Arial"/>
          <w:i/>
          <w:iCs/>
          <w:color w:val="0E101A"/>
          <w:shd w:val="clear" w:color="auto" w:fill="FFFFFF"/>
        </w:rPr>
        <w:t>96</w:t>
      </w:r>
      <w:r w:rsidRPr="00032F4F">
        <w:rPr>
          <w:rStyle w:val="fal6plv"/>
          <w:rFonts w:ascii="Arial" w:hAnsi="Arial" w:cs="Arial"/>
          <w:color w:val="0E101A"/>
          <w:shd w:val="clear" w:color="auto" w:fill="FFFFFF"/>
        </w:rPr>
        <w:t>(4),</w:t>
      </w:r>
      <w:r w:rsidRPr="00032F4F">
        <w:rPr>
          <w:rStyle w:val="fal6plv"/>
          <w:rFonts w:ascii="Arial" w:hAnsi="Arial" w:cs="Arial" w:hint="eastAsia"/>
          <w:color w:val="0E101A"/>
          <w:shd w:val="clear" w:color="auto" w:fill="FFFFFF"/>
        </w:rPr>
        <w:t> </w:t>
      </w:r>
      <w:r w:rsidRPr="00032F4F">
        <w:rPr>
          <w:rStyle w:val="fal6plv"/>
          <w:rFonts w:ascii="Arial" w:hAnsi="Arial" w:cs="Arial"/>
          <w:color w:val="0E101A"/>
          <w:shd w:val="clear" w:color="auto" w:fill="FFFFFF"/>
        </w:rPr>
        <w:t>1639-1644.</w:t>
      </w:r>
    </w:p>
    <w:p w14:paraId="2667535B" w14:textId="4FAC0DAF" w:rsidR="004046C9" w:rsidRPr="00570770" w:rsidRDefault="004046C9" w:rsidP="004046C9">
      <w:pPr>
        <w:pStyle w:val="NormalWeb"/>
        <w:numPr>
          <w:ilvl w:val="0"/>
          <w:numId w:val="3"/>
        </w:numPr>
        <w:rPr>
          <w:rFonts w:ascii="Arial" w:hAnsi="Arial" w:cs="Arial"/>
        </w:rPr>
      </w:pPr>
      <w:proofErr w:type="gramStart"/>
      <w:r w:rsidRPr="00570770">
        <w:rPr>
          <w:rFonts w:ascii="Arial" w:hAnsi="Arial" w:cs="Arial"/>
        </w:rPr>
        <w:t>McGuffie,M.J.</w:t>
      </w:r>
      <w:proofErr w:type="gramEnd"/>
      <w:r w:rsidRPr="00570770">
        <w:rPr>
          <w:rFonts w:ascii="Arial" w:hAnsi="Arial" w:cs="Arial"/>
        </w:rPr>
        <w:t xml:space="preserve"> and </w:t>
      </w:r>
      <w:proofErr w:type="spellStart"/>
      <w:r w:rsidRPr="00570770">
        <w:rPr>
          <w:rFonts w:ascii="Arial" w:hAnsi="Arial" w:cs="Arial"/>
        </w:rPr>
        <w:t>Barrick,J.E</w:t>
      </w:r>
      <w:proofErr w:type="spellEnd"/>
      <w:r w:rsidRPr="00570770">
        <w:rPr>
          <w:rFonts w:ascii="Arial" w:hAnsi="Arial" w:cs="Arial"/>
        </w:rPr>
        <w:t xml:space="preserve">. (2021) </w:t>
      </w:r>
      <w:proofErr w:type="spellStart"/>
      <w:r w:rsidRPr="00570770">
        <w:rPr>
          <w:rFonts w:ascii="Arial" w:hAnsi="Arial" w:cs="Arial"/>
        </w:rPr>
        <w:t>pLannotate</w:t>
      </w:r>
      <w:proofErr w:type="spellEnd"/>
      <w:r w:rsidRPr="00570770">
        <w:rPr>
          <w:rFonts w:ascii="Arial" w:hAnsi="Arial" w:cs="Arial"/>
        </w:rPr>
        <w:t>: engineered plasmid annotation. </w:t>
      </w:r>
      <w:r w:rsidRPr="00570770">
        <w:rPr>
          <w:rFonts w:ascii="Arial" w:hAnsi="Arial" w:cs="Arial"/>
          <w:i/>
          <w:iCs/>
        </w:rPr>
        <w:t>Nucleic Acids Research</w:t>
      </w:r>
    </w:p>
    <w:p w14:paraId="4D2BCCCE" w14:textId="46F428B2" w:rsidR="004046C9" w:rsidRPr="00570770" w:rsidRDefault="004046C9" w:rsidP="004046C9">
      <w:pPr>
        <w:pStyle w:val="NormalWeb"/>
        <w:numPr>
          <w:ilvl w:val="0"/>
          <w:numId w:val="3"/>
        </w:numPr>
        <w:rPr>
          <w:rFonts w:ascii="Arial" w:hAnsi="Arial" w:cs="Arial"/>
        </w:rPr>
      </w:pPr>
      <w:r w:rsidRPr="00570770">
        <w:rPr>
          <w:rFonts w:ascii="Arial" w:hAnsi="Arial" w:cs="Arial"/>
        </w:rPr>
        <w:t xml:space="preserve">Pesci, E. C., Pearson, J. P., Seed, P. C., &amp; </w:t>
      </w:r>
      <w:proofErr w:type="spellStart"/>
      <w:r w:rsidRPr="00570770">
        <w:rPr>
          <w:rFonts w:ascii="Arial" w:hAnsi="Arial" w:cs="Arial"/>
        </w:rPr>
        <w:t>Iglewski</w:t>
      </w:r>
      <w:proofErr w:type="spellEnd"/>
      <w:r w:rsidRPr="00570770">
        <w:rPr>
          <w:rFonts w:ascii="Arial" w:hAnsi="Arial" w:cs="Arial"/>
        </w:rPr>
        <w:t xml:space="preserve">, B. H. (1997). Regulation of las and </w:t>
      </w:r>
      <w:proofErr w:type="spellStart"/>
      <w:r w:rsidRPr="00570770">
        <w:rPr>
          <w:rFonts w:ascii="Arial" w:hAnsi="Arial" w:cs="Arial"/>
        </w:rPr>
        <w:t>rhl</w:t>
      </w:r>
      <w:proofErr w:type="spellEnd"/>
      <w:r w:rsidRPr="00570770">
        <w:rPr>
          <w:rFonts w:ascii="Arial" w:hAnsi="Arial" w:cs="Arial"/>
        </w:rPr>
        <w:t xml:space="preserve"> quorum sensing in pseudomonas aeruginosa. </w:t>
      </w:r>
      <w:r w:rsidRPr="00570770">
        <w:rPr>
          <w:rFonts w:ascii="Arial" w:hAnsi="Arial" w:cs="Arial"/>
          <w:i/>
          <w:iCs/>
        </w:rPr>
        <w:t>Journal of Bacteriology</w:t>
      </w:r>
      <w:r w:rsidRPr="00570770">
        <w:rPr>
          <w:rFonts w:ascii="Arial" w:hAnsi="Arial" w:cs="Arial"/>
        </w:rPr>
        <w:t xml:space="preserve">, </w:t>
      </w:r>
      <w:r w:rsidRPr="00570770">
        <w:rPr>
          <w:rFonts w:ascii="Arial" w:hAnsi="Arial" w:cs="Arial"/>
          <w:i/>
          <w:iCs/>
        </w:rPr>
        <w:t>179</w:t>
      </w:r>
      <w:r w:rsidRPr="00570770">
        <w:rPr>
          <w:rFonts w:ascii="Arial" w:hAnsi="Arial" w:cs="Arial"/>
        </w:rPr>
        <w:t xml:space="preserve">(10), 3127–3132. https://doi.org/10.1128/jb.179.10.3127-3132.1997 </w:t>
      </w:r>
    </w:p>
    <w:p w14:paraId="76023B03" w14:textId="32600375" w:rsidR="004046C9" w:rsidRPr="00570770" w:rsidRDefault="004046C9" w:rsidP="004046C9">
      <w:pPr>
        <w:pStyle w:val="NormalWeb"/>
        <w:numPr>
          <w:ilvl w:val="0"/>
          <w:numId w:val="3"/>
        </w:numPr>
        <w:rPr>
          <w:rFonts w:ascii="Arial" w:hAnsi="Arial" w:cs="Arial"/>
        </w:rPr>
      </w:pPr>
      <w:r w:rsidRPr="00570770">
        <w:rPr>
          <w:rFonts w:ascii="Arial" w:hAnsi="Arial" w:cs="Arial"/>
        </w:rPr>
        <w:t xml:space="preserve">Scott, S. R., &amp; Hasty, J. (2016). Quorum Sensing Communication Modules for Microbial Consortia. </w:t>
      </w:r>
      <w:r w:rsidRPr="00570770">
        <w:rPr>
          <w:rFonts w:ascii="Arial" w:hAnsi="Arial" w:cs="Arial"/>
          <w:i/>
          <w:iCs/>
        </w:rPr>
        <w:t>ACS Synthetic Biology</w:t>
      </w:r>
      <w:r w:rsidRPr="00570770">
        <w:rPr>
          <w:rFonts w:ascii="Arial" w:hAnsi="Arial" w:cs="Arial"/>
        </w:rPr>
        <w:t xml:space="preserve">, </w:t>
      </w:r>
      <w:r w:rsidRPr="00570770">
        <w:rPr>
          <w:rFonts w:ascii="Arial" w:hAnsi="Arial" w:cs="Arial"/>
          <w:i/>
          <w:iCs/>
        </w:rPr>
        <w:t>5</w:t>
      </w:r>
      <w:r w:rsidRPr="00570770">
        <w:rPr>
          <w:rFonts w:ascii="Arial" w:hAnsi="Arial" w:cs="Arial"/>
        </w:rPr>
        <w:t xml:space="preserve">(9), 969–977. https://doi.org/10.1021/acssynbio.5b00286 </w:t>
      </w:r>
    </w:p>
    <w:p w14:paraId="734CF548" w14:textId="77777777" w:rsidR="004046C9" w:rsidRPr="00570770" w:rsidRDefault="004046C9" w:rsidP="00383D26">
      <w:pPr>
        <w:pStyle w:val="NormalWeb"/>
        <w:rPr>
          <w:rFonts w:ascii="Arial" w:hAnsi="Arial" w:cs="Arial"/>
        </w:rPr>
      </w:pPr>
    </w:p>
    <w:sectPr w:rsidR="004046C9" w:rsidRPr="00570770" w:rsidSect="009039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21C2"/>
    <w:multiLevelType w:val="hybridMultilevel"/>
    <w:tmpl w:val="F8BCF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26931"/>
    <w:multiLevelType w:val="hybridMultilevel"/>
    <w:tmpl w:val="697E8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C7066E"/>
    <w:multiLevelType w:val="hybridMultilevel"/>
    <w:tmpl w:val="7C7E6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980C61"/>
    <w:multiLevelType w:val="hybridMultilevel"/>
    <w:tmpl w:val="1BC60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8622BC"/>
    <w:multiLevelType w:val="hybridMultilevel"/>
    <w:tmpl w:val="BEC8B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B26F88"/>
    <w:multiLevelType w:val="hybridMultilevel"/>
    <w:tmpl w:val="1F3A7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3221D2E"/>
    <w:multiLevelType w:val="hybridMultilevel"/>
    <w:tmpl w:val="A538D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E3459A8"/>
    <w:multiLevelType w:val="hybridMultilevel"/>
    <w:tmpl w:val="AFB6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93091490">
    <w:abstractNumId w:val="3"/>
  </w:num>
  <w:num w:numId="2" w16cid:durableId="1036194599">
    <w:abstractNumId w:val="4"/>
  </w:num>
  <w:num w:numId="3" w16cid:durableId="997490320">
    <w:abstractNumId w:val="2"/>
  </w:num>
  <w:num w:numId="4" w16cid:durableId="272445909">
    <w:abstractNumId w:val="7"/>
  </w:num>
  <w:num w:numId="5" w16cid:durableId="852115225">
    <w:abstractNumId w:val="5"/>
  </w:num>
  <w:num w:numId="6" w16cid:durableId="1191649881">
    <w:abstractNumId w:val="6"/>
  </w:num>
  <w:num w:numId="7" w16cid:durableId="28994508">
    <w:abstractNumId w:val="1"/>
  </w:num>
  <w:num w:numId="8" w16cid:durableId="251356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125"/>
    <w:rsid w:val="00032F4F"/>
    <w:rsid w:val="00043ACE"/>
    <w:rsid w:val="00252B6A"/>
    <w:rsid w:val="00255F59"/>
    <w:rsid w:val="002A7BDC"/>
    <w:rsid w:val="002B3E2B"/>
    <w:rsid w:val="002C3DF8"/>
    <w:rsid w:val="002C4FB5"/>
    <w:rsid w:val="00322676"/>
    <w:rsid w:val="00335006"/>
    <w:rsid w:val="00336963"/>
    <w:rsid w:val="00376085"/>
    <w:rsid w:val="00382D8F"/>
    <w:rsid w:val="00383D26"/>
    <w:rsid w:val="003A5FBA"/>
    <w:rsid w:val="004046C9"/>
    <w:rsid w:val="004266DD"/>
    <w:rsid w:val="00430D54"/>
    <w:rsid w:val="00455B15"/>
    <w:rsid w:val="00472C84"/>
    <w:rsid w:val="00492334"/>
    <w:rsid w:val="00525EB8"/>
    <w:rsid w:val="005362D8"/>
    <w:rsid w:val="00570770"/>
    <w:rsid w:val="0059685F"/>
    <w:rsid w:val="005D1125"/>
    <w:rsid w:val="00602716"/>
    <w:rsid w:val="00762C1E"/>
    <w:rsid w:val="00781808"/>
    <w:rsid w:val="008474FC"/>
    <w:rsid w:val="00894F17"/>
    <w:rsid w:val="008F151C"/>
    <w:rsid w:val="009039BC"/>
    <w:rsid w:val="009A1A78"/>
    <w:rsid w:val="009E5634"/>
    <w:rsid w:val="00AC09A1"/>
    <w:rsid w:val="00B27A60"/>
    <w:rsid w:val="00B32DB0"/>
    <w:rsid w:val="00B44D29"/>
    <w:rsid w:val="00BE7DD5"/>
    <w:rsid w:val="00BF7C99"/>
    <w:rsid w:val="00C078A4"/>
    <w:rsid w:val="00C51F8B"/>
    <w:rsid w:val="00C837C2"/>
    <w:rsid w:val="00E14533"/>
    <w:rsid w:val="00F14A57"/>
    <w:rsid w:val="00F17248"/>
    <w:rsid w:val="00F40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37019"/>
  <w15:chartTrackingRefBased/>
  <w15:docId w15:val="{4A6852B5-A186-3646-B1D5-3E5982BA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F8B"/>
    <w:pPr>
      <w:ind w:left="720"/>
      <w:contextualSpacing/>
    </w:pPr>
  </w:style>
  <w:style w:type="paragraph" w:styleId="NormalWeb">
    <w:name w:val="Normal (Web)"/>
    <w:basedOn w:val="Normal"/>
    <w:uiPriority w:val="99"/>
    <w:unhideWhenUsed/>
    <w:rsid w:val="004046C9"/>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4046C9"/>
    <w:rPr>
      <w:color w:val="0563C1" w:themeColor="hyperlink"/>
      <w:u w:val="single"/>
    </w:rPr>
  </w:style>
  <w:style w:type="character" w:styleId="UnresolvedMention">
    <w:name w:val="Unresolved Mention"/>
    <w:basedOn w:val="DefaultParagraphFont"/>
    <w:uiPriority w:val="99"/>
    <w:semiHidden/>
    <w:unhideWhenUsed/>
    <w:rsid w:val="004046C9"/>
    <w:rPr>
      <w:color w:val="605E5C"/>
      <w:shd w:val="clear" w:color="auto" w:fill="E1DFDD"/>
    </w:rPr>
  </w:style>
  <w:style w:type="character" w:styleId="FollowedHyperlink">
    <w:name w:val="FollowedHyperlink"/>
    <w:basedOn w:val="DefaultParagraphFont"/>
    <w:uiPriority w:val="99"/>
    <w:semiHidden/>
    <w:unhideWhenUsed/>
    <w:rsid w:val="004046C9"/>
    <w:rPr>
      <w:color w:val="954F72" w:themeColor="followedHyperlink"/>
      <w:u w:val="single"/>
    </w:rPr>
  </w:style>
  <w:style w:type="paragraph" w:styleId="Revision">
    <w:name w:val="Revision"/>
    <w:hidden/>
    <w:uiPriority w:val="99"/>
    <w:semiHidden/>
    <w:rsid w:val="00455B15"/>
  </w:style>
  <w:style w:type="character" w:styleId="CommentReference">
    <w:name w:val="annotation reference"/>
    <w:basedOn w:val="DefaultParagraphFont"/>
    <w:uiPriority w:val="99"/>
    <w:semiHidden/>
    <w:unhideWhenUsed/>
    <w:rsid w:val="00455B15"/>
    <w:rPr>
      <w:sz w:val="16"/>
      <w:szCs w:val="16"/>
    </w:rPr>
  </w:style>
  <w:style w:type="paragraph" w:styleId="CommentText">
    <w:name w:val="annotation text"/>
    <w:basedOn w:val="Normal"/>
    <w:link w:val="CommentTextChar"/>
    <w:uiPriority w:val="99"/>
    <w:semiHidden/>
    <w:unhideWhenUsed/>
    <w:rsid w:val="00455B15"/>
    <w:rPr>
      <w:sz w:val="20"/>
      <w:szCs w:val="20"/>
    </w:rPr>
  </w:style>
  <w:style w:type="character" w:customStyle="1" w:styleId="CommentTextChar">
    <w:name w:val="Comment Text Char"/>
    <w:basedOn w:val="DefaultParagraphFont"/>
    <w:link w:val="CommentText"/>
    <w:uiPriority w:val="99"/>
    <w:semiHidden/>
    <w:rsid w:val="00455B15"/>
    <w:rPr>
      <w:sz w:val="20"/>
      <w:szCs w:val="20"/>
    </w:rPr>
  </w:style>
  <w:style w:type="paragraph" w:styleId="CommentSubject">
    <w:name w:val="annotation subject"/>
    <w:basedOn w:val="CommentText"/>
    <w:next w:val="CommentText"/>
    <w:link w:val="CommentSubjectChar"/>
    <w:uiPriority w:val="99"/>
    <w:semiHidden/>
    <w:unhideWhenUsed/>
    <w:rsid w:val="00455B15"/>
    <w:rPr>
      <w:b/>
      <w:bCs/>
    </w:rPr>
  </w:style>
  <w:style w:type="character" w:customStyle="1" w:styleId="CommentSubjectChar">
    <w:name w:val="Comment Subject Char"/>
    <w:basedOn w:val="CommentTextChar"/>
    <w:link w:val="CommentSubject"/>
    <w:uiPriority w:val="99"/>
    <w:semiHidden/>
    <w:rsid w:val="00455B15"/>
    <w:rPr>
      <w:b/>
      <w:bCs/>
      <w:sz w:val="20"/>
      <w:szCs w:val="20"/>
    </w:rPr>
  </w:style>
  <w:style w:type="character" w:customStyle="1" w:styleId="fal6plv">
    <w:name w:val="fal6plv"/>
    <w:basedOn w:val="DefaultParagraphFont"/>
    <w:rsid w:val="002A7BDC"/>
  </w:style>
  <w:style w:type="table" w:styleId="TableGrid">
    <w:name w:val="Table Grid"/>
    <w:basedOn w:val="TableNormal"/>
    <w:uiPriority w:val="39"/>
    <w:rsid w:val="008F151C"/>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690136">
      <w:bodyDiv w:val="1"/>
      <w:marLeft w:val="0"/>
      <w:marRight w:val="0"/>
      <w:marTop w:val="0"/>
      <w:marBottom w:val="0"/>
      <w:divBdr>
        <w:top w:val="none" w:sz="0" w:space="0" w:color="auto"/>
        <w:left w:val="none" w:sz="0" w:space="0" w:color="auto"/>
        <w:bottom w:val="none" w:sz="0" w:space="0" w:color="auto"/>
        <w:right w:val="none" w:sz="0" w:space="0" w:color="auto"/>
      </w:divBdr>
      <w:divsChild>
        <w:div w:id="677270608">
          <w:marLeft w:val="-720"/>
          <w:marRight w:val="0"/>
          <w:marTop w:val="0"/>
          <w:marBottom w:val="0"/>
          <w:divBdr>
            <w:top w:val="none" w:sz="0" w:space="0" w:color="auto"/>
            <w:left w:val="none" w:sz="0" w:space="0" w:color="auto"/>
            <w:bottom w:val="none" w:sz="0" w:space="0" w:color="auto"/>
            <w:right w:val="none" w:sz="0" w:space="0" w:color="auto"/>
          </w:divBdr>
        </w:div>
      </w:divsChild>
    </w:div>
    <w:div w:id="914515212">
      <w:bodyDiv w:val="1"/>
      <w:marLeft w:val="0"/>
      <w:marRight w:val="0"/>
      <w:marTop w:val="0"/>
      <w:marBottom w:val="0"/>
      <w:divBdr>
        <w:top w:val="none" w:sz="0" w:space="0" w:color="auto"/>
        <w:left w:val="none" w:sz="0" w:space="0" w:color="auto"/>
        <w:bottom w:val="none" w:sz="0" w:space="0" w:color="auto"/>
        <w:right w:val="none" w:sz="0" w:space="0" w:color="auto"/>
      </w:divBdr>
    </w:div>
    <w:div w:id="1250583693">
      <w:bodyDiv w:val="1"/>
      <w:marLeft w:val="0"/>
      <w:marRight w:val="0"/>
      <w:marTop w:val="0"/>
      <w:marBottom w:val="0"/>
      <w:divBdr>
        <w:top w:val="none" w:sz="0" w:space="0" w:color="auto"/>
        <w:left w:val="none" w:sz="0" w:space="0" w:color="auto"/>
        <w:bottom w:val="none" w:sz="0" w:space="0" w:color="auto"/>
        <w:right w:val="none" w:sz="0" w:space="0" w:color="auto"/>
      </w:divBdr>
      <w:divsChild>
        <w:div w:id="1906841827">
          <w:marLeft w:val="-720"/>
          <w:marRight w:val="0"/>
          <w:marTop w:val="0"/>
          <w:marBottom w:val="0"/>
          <w:divBdr>
            <w:top w:val="none" w:sz="0" w:space="0" w:color="auto"/>
            <w:left w:val="none" w:sz="0" w:space="0" w:color="auto"/>
            <w:bottom w:val="none" w:sz="0" w:space="0" w:color="auto"/>
            <w:right w:val="none" w:sz="0" w:space="0" w:color="auto"/>
          </w:divBdr>
        </w:div>
      </w:divsChild>
    </w:div>
    <w:div w:id="156528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cgl.ucsf.edu/chimerax/" TargetMode="External"/><Relationship Id="rId4" Type="http://schemas.openxmlformats.org/officeDocument/2006/relationships/webSettings" Target="webSettings.xml"/><Relationship Id="rId9" Type="http://schemas.openxmlformats.org/officeDocument/2006/relationships/hyperlink" Target="https://www.uniprot.org/uniprotkb/P33883/en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Ismar Miniel</dc:creator>
  <cp:keywords/>
  <dc:description/>
  <cp:lastModifiedBy>Partipilo, Gina</cp:lastModifiedBy>
  <cp:revision>12</cp:revision>
  <dcterms:created xsi:type="dcterms:W3CDTF">2024-04-27T19:24:00Z</dcterms:created>
  <dcterms:modified xsi:type="dcterms:W3CDTF">2024-06-15T20:23:00Z</dcterms:modified>
</cp:coreProperties>
</file>